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84"/>
      </w:tblGrid>
      <w:tr w:rsidR="00EA62BA" w:rsidRPr="00D5663B" w:rsidTr="00686952">
        <w:trPr>
          <w:trHeight w:hRule="exact" w:val="2552"/>
        </w:trPr>
        <w:tc>
          <w:tcPr>
            <w:tcW w:w="7484" w:type="dxa"/>
          </w:tcPr>
          <w:p w:rsidR="00EA62BA" w:rsidRPr="00D5663B" w:rsidRDefault="00EA62BA" w:rsidP="00A76411">
            <w:pPr>
              <w:pStyle w:val="ANT"/>
              <w:spacing w:before="120"/>
              <w:rPr>
                <w:rFonts w:ascii="Arial" w:hAnsi="Arial"/>
              </w:rPr>
            </w:pPr>
            <w:r w:rsidRPr="00D5663B">
              <w:rPr>
                <w:rFonts w:ascii="Arial" w:hAnsi="Arial"/>
              </w:rPr>
              <w:t>ГОДИШНИК НА УНИВЕРСИТЕТА</w:t>
            </w:r>
            <w:r w:rsidRPr="00D5663B">
              <w:t xml:space="preserve"> </w:t>
            </w:r>
            <w:r w:rsidRPr="00D5663B">
              <w:rPr>
                <w:rFonts w:ascii="Arial" w:hAnsi="Arial"/>
              </w:rPr>
              <w:t>ПО АРХИТЕКТУРА, СТРОИТЕЛСТВО И ГЕОДЕЗИЯ – СОФИЯ</w:t>
            </w:r>
          </w:p>
          <w:p w:rsidR="00EA62BA" w:rsidRPr="00D5663B" w:rsidRDefault="00A76411" w:rsidP="00A76411">
            <w:pPr>
              <w:pStyle w:val="ANT"/>
              <w:spacing w:before="120"/>
              <w:rPr>
                <w:rFonts w:ascii="Arial" w:hAnsi="Arial" w:cs="Arial"/>
                <w:bCs/>
                <w:color w:val="000000"/>
                <w:sz w:val="14"/>
                <w:szCs w:val="14"/>
              </w:rPr>
            </w:pPr>
            <w:r w:rsidRPr="00D5663B">
              <w:rPr>
                <w:rFonts w:ascii="Arial" w:hAnsi="Arial" w:cs="Arial"/>
                <w:bCs/>
                <w:color w:val="000000"/>
                <w:sz w:val="14"/>
                <w:szCs w:val="14"/>
              </w:rPr>
              <w:t>Юбилейна приложна научно-техническа конференция</w:t>
            </w:r>
            <w:r w:rsidRPr="00D5663B">
              <w:rPr>
                <w:rFonts w:ascii="Arial" w:hAnsi="Arial" w:cs="Arial"/>
                <w:bCs/>
                <w:color w:val="000000"/>
                <w:sz w:val="14"/>
                <w:szCs w:val="14"/>
              </w:rPr>
              <w:br/>
              <w:t>„65 години Хидротехнически факултет и 15 години немскоезиково обучение”</w:t>
            </w:r>
          </w:p>
          <w:p w:rsidR="00686952" w:rsidRPr="00D5663B" w:rsidRDefault="00686952">
            <w:pPr>
              <w:pStyle w:val="ANT"/>
              <w:rPr>
                <w:rFonts w:ascii="Arial" w:hAnsi="Arial" w:cs="Arial"/>
                <w:sz w:val="14"/>
                <w:szCs w:val="14"/>
              </w:rPr>
            </w:pPr>
          </w:p>
          <w:p w:rsidR="00A76411" w:rsidRPr="00D5663B" w:rsidRDefault="00686952">
            <w:pPr>
              <w:pStyle w:val="ANT"/>
              <w:rPr>
                <w:rFonts w:ascii="Arial" w:hAnsi="Arial" w:cs="Arial"/>
                <w:sz w:val="14"/>
                <w:szCs w:val="14"/>
              </w:rPr>
            </w:pPr>
            <w:r w:rsidRPr="00D5663B">
              <w:rPr>
                <w:rFonts w:ascii="Arial" w:hAnsi="Arial" w:cs="Arial"/>
                <w:sz w:val="14"/>
                <w:szCs w:val="14"/>
              </w:rPr>
              <w:t>6–7 ноември 2014</w:t>
            </w:r>
          </w:p>
          <w:p w:rsidR="00686952" w:rsidRPr="00D5663B" w:rsidRDefault="00686952">
            <w:pPr>
              <w:pStyle w:val="ANT"/>
              <w:rPr>
                <w:rFonts w:ascii="Arial" w:hAnsi="Arial" w:cs="Arial"/>
                <w:sz w:val="14"/>
                <w:szCs w:val="14"/>
              </w:rPr>
            </w:pPr>
            <w:r w:rsidRPr="00D5663B">
              <w:rPr>
                <w:rFonts w:ascii="Arial" w:hAnsi="Arial" w:cs="Arial"/>
                <w:sz w:val="14"/>
                <w:szCs w:val="14"/>
              </w:rPr>
              <w:t>6–7 November 2014</w:t>
            </w:r>
          </w:p>
          <w:p w:rsidR="00686952" w:rsidRPr="00D5663B" w:rsidRDefault="00686952">
            <w:pPr>
              <w:pStyle w:val="ANT"/>
              <w:rPr>
                <w:rFonts w:ascii="Arial" w:hAnsi="Arial" w:cs="Arial"/>
                <w:sz w:val="14"/>
                <w:szCs w:val="14"/>
              </w:rPr>
            </w:pPr>
          </w:p>
          <w:p w:rsidR="00EA62BA" w:rsidRPr="00D5663B" w:rsidRDefault="00A76411">
            <w:pPr>
              <w:pStyle w:val="ANT"/>
              <w:rPr>
                <w:rFonts w:ascii="Arial" w:hAnsi="Arial" w:cs="Arial"/>
                <w:sz w:val="14"/>
                <w:szCs w:val="14"/>
              </w:rPr>
            </w:pPr>
            <w:r w:rsidRPr="00D5663B">
              <w:rPr>
                <w:rFonts w:ascii="Arial" w:hAnsi="Arial" w:cs="Arial"/>
                <w:bCs/>
                <w:color w:val="000000"/>
                <w:sz w:val="14"/>
                <w:szCs w:val="14"/>
              </w:rPr>
              <w:t>International Jubilee Conference</w:t>
            </w:r>
            <w:r w:rsidRPr="00D5663B">
              <w:rPr>
                <w:rFonts w:ascii="Arial" w:hAnsi="Arial" w:cs="Arial"/>
                <w:b w:val="0"/>
                <w:bCs/>
                <w:color w:val="000000"/>
                <w:sz w:val="14"/>
                <w:szCs w:val="14"/>
              </w:rPr>
              <w:br/>
            </w:r>
            <w:r w:rsidRPr="00D5663B">
              <w:rPr>
                <w:rFonts w:ascii="Arial" w:hAnsi="Arial" w:cs="Arial"/>
                <w:bCs/>
                <w:color w:val="000000"/>
                <w:sz w:val="14"/>
                <w:szCs w:val="14"/>
              </w:rPr>
              <w:t>„65</w:t>
            </w:r>
            <w:r w:rsidRPr="00D5663B">
              <w:rPr>
                <w:rFonts w:ascii="Arial" w:hAnsi="Arial" w:cs="Arial"/>
                <w:bCs/>
                <w:color w:val="000000"/>
                <w:sz w:val="14"/>
                <w:szCs w:val="14"/>
                <w:vertAlign w:val="superscript"/>
              </w:rPr>
              <w:t xml:space="preserve">th </w:t>
            </w:r>
            <w:r w:rsidRPr="00D5663B">
              <w:rPr>
                <w:rFonts w:ascii="Arial" w:hAnsi="Arial" w:cs="Arial"/>
                <w:bCs/>
                <w:color w:val="000000"/>
                <w:sz w:val="14"/>
                <w:szCs w:val="14"/>
              </w:rPr>
              <w:t>Anniversary Faculty of Hydraulic Engineering</w:t>
            </w:r>
            <w:r w:rsidRPr="00D5663B">
              <w:rPr>
                <w:rFonts w:ascii="Arial" w:hAnsi="Arial" w:cs="Arial"/>
                <w:b w:val="0"/>
                <w:bCs/>
                <w:color w:val="000000"/>
                <w:sz w:val="14"/>
                <w:szCs w:val="14"/>
              </w:rPr>
              <w:t xml:space="preserve"> </w:t>
            </w:r>
            <w:r w:rsidRPr="00D5663B">
              <w:rPr>
                <w:rFonts w:ascii="Arial" w:hAnsi="Arial" w:cs="Arial"/>
                <w:bCs/>
                <w:color w:val="000000"/>
                <w:sz w:val="14"/>
                <w:szCs w:val="14"/>
              </w:rPr>
              <w:t>and 15</w:t>
            </w:r>
            <w:r w:rsidRPr="00D5663B">
              <w:rPr>
                <w:rFonts w:ascii="Arial" w:hAnsi="Arial" w:cs="Arial"/>
                <w:bCs/>
                <w:color w:val="000000"/>
                <w:sz w:val="14"/>
                <w:szCs w:val="14"/>
                <w:vertAlign w:val="superscript"/>
              </w:rPr>
              <w:t xml:space="preserve">th </w:t>
            </w:r>
            <w:r w:rsidRPr="00D5663B">
              <w:rPr>
                <w:rFonts w:ascii="Arial" w:hAnsi="Arial" w:cs="Arial"/>
                <w:bCs/>
                <w:color w:val="000000"/>
                <w:sz w:val="14"/>
                <w:szCs w:val="14"/>
              </w:rPr>
              <w:t>Anniversary Hydraulic Engineering in German”</w:t>
            </w:r>
          </w:p>
          <w:p w:rsidR="00EA62BA" w:rsidRPr="00D5663B" w:rsidRDefault="00EA62BA" w:rsidP="003D108E">
            <w:pPr>
              <w:pStyle w:val="ANT"/>
              <w:spacing w:before="120"/>
              <w:rPr>
                <w:rFonts w:ascii="Arial" w:hAnsi="Arial"/>
              </w:rPr>
            </w:pPr>
            <w:r w:rsidRPr="00D5663B">
              <w:rPr>
                <w:rFonts w:ascii="Arial" w:hAnsi="Arial"/>
              </w:rPr>
              <w:t>ANNUAL OF THE UNIVERSITY OF ARCHITECTURE, CIVIL ENGINEERING AND GEODESY – SOFIA</w:t>
            </w:r>
          </w:p>
          <w:p w:rsidR="00EA62BA" w:rsidRPr="00D5663B" w:rsidRDefault="00EA62BA">
            <w:pPr>
              <w:pStyle w:val="ANT"/>
              <w:rPr>
                <w:b w:val="0"/>
                <w:sz w:val="14"/>
                <w:szCs w:val="14"/>
              </w:rPr>
            </w:pPr>
          </w:p>
          <w:p w:rsidR="00EA62BA" w:rsidRPr="00D5663B" w:rsidRDefault="00A76411" w:rsidP="00380A43">
            <w:pPr>
              <w:pStyle w:val="ANT"/>
              <w:tabs>
                <w:tab w:val="center" w:pos="3742"/>
                <w:tab w:val="right" w:pos="7484"/>
              </w:tabs>
              <w:jc w:val="left"/>
              <w:rPr>
                <w:rFonts w:ascii="Arial" w:hAnsi="Arial"/>
              </w:rPr>
            </w:pPr>
            <w:r w:rsidRPr="00D5663B">
              <w:rPr>
                <w:position w:val="-10"/>
              </w:rPr>
              <w:object w:dxaOrig="859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5pt;height:15.5pt" o:ole="" fillcolor="window">
                  <v:imagedata r:id="rId8" o:title=""/>
                </v:shape>
                <o:OLEObject Type="Embed" ProgID="Equation.DSMT4" ShapeID="_x0000_i1025" DrawAspect="Content" ObjectID="_1494406497" r:id="rId9"/>
              </w:object>
            </w:r>
            <w:r w:rsidR="00EA62BA" w:rsidRPr="00D5663B">
              <w:tab/>
            </w:r>
            <w:r w:rsidR="009E3474" w:rsidRPr="00D5663B">
              <w:rPr>
                <w:rFonts w:ascii="Arial" w:hAnsi="Arial"/>
              </w:rPr>
              <w:t>20</w:t>
            </w:r>
            <w:r w:rsidR="00EC5D42" w:rsidRPr="00D5663B">
              <w:rPr>
                <w:rFonts w:ascii="Arial" w:hAnsi="Arial"/>
              </w:rPr>
              <w:t>1</w:t>
            </w:r>
            <w:r w:rsidR="00380A43" w:rsidRPr="00D5663B">
              <w:rPr>
                <w:rFonts w:ascii="Arial" w:hAnsi="Arial"/>
              </w:rPr>
              <w:t>4</w:t>
            </w:r>
            <w:r w:rsidR="00EA62BA" w:rsidRPr="00D5663B">
              <w:tab/>
            </w:r>
            <w:r w:rsidR="008D53AA" w:rsidRPr="00597E17">
              <w:rPr>
                <w:position w:val="-10"/>
              </w:rPr>
              <w:object w:dxaOrig="639" w:dyaOrig="320">
                <v:shape id="_x0000_i1050" type="#_x0000_t75" style="width:32pt;height:15.5pt" o:ole="" fillcolor="window">
                  <v:imagedata r:id="rId10" o:title=""/>
                </v:shape>
                <o:OLEObject Type="Embed" ProgID="Equation.DSMT4" ShapeID="_x0000_i1050" DrawAspect="Content" ObjectID="_1494406498" r:id="rId11"/>
              </w:object>
            </w:r>
            <w:bookmarkStart w:id="0" w:name="_GoBack"/>
            <w:bookmarkEnd w:id="0"/>
          </w:p>
        </w:tc>
      </w:tr>
    </w:tbl>
    <w:p w:rsidR="009A7066" w:rsidRPr="00D5663B" w:rsidRDefault="009A7066">
      <w:pPr>
        <w:pStyle w:val="Title"/>
      </w:pPr>
      <w:r w:rsidRPr="00D5663B">
        <w:t>ПРИЛОЖЕНИЕ НА ДИФЕРЕНЦИАЛНО КВАДРАТИЧНия МЕТОД</w:t>
      </w:r>
      <w:r w:rsidR="00E24334">
        <w:t xml:space="preserve"> ЗА ИЗСЛЕДВАНЕ УСТОЙЧИВОСТТА НА</w:t>
      </w:r>
      <w:r w:rsidR="00E24334">
        <w:br/>
      </w:r>
      <w:r w:rsidRPr="00D5663B">
        <w:t>ЦЕНТРИЧНО НАТИСНАТА КОЛОНА</w:t>
      </w:r>
      <w:r w:rsidR="00E24334">
        <w:t xml:space="preserve"> С</w:t>
      </w:r>
      <w:r w:rsidR="00E24334">
        <w:br/>
      </w:r>
      <w:r w:rsidR="002437C9" w:rsidRPr="00D5663B">
        <w:t>ПРОМЕНЛИВО НАПРЕЧНО СЕЧЕНИЕ</w:t>
      </w:r>
    </w:p>
    <w:p w:rsidR="009A7066" w:rsidRPr="00D5663B" w:rsidRDefault="009A7066" w:rsidP="00CE3646">
      <w:pPr>
        <w:pStyle w:val="NAME"/>
        <w:rPr>
          <w:lang w:val="bg-BG"/>
        </w:rPr>
      </w:pPr>
      <w:r w:rsidRPr="00D5663B">
        <w:rPr>
          <w:lang w:val="bg-BG"/>
        </w:rPr>
        <w:t>Д. Киндова-Петрова</w:t>
      </w:r>
      <w:r w:rsidRPr="00D5663B">
        <w:rPr>
          <w:rStyle w:val="FootnoteReference"/>
          <w:lang w:val="bg-BG"/>
        </w:rPr>
        <w:footnoteReference w:id="1"/>
      </w:r>
      <w:r w:rsidRPr="00D5663B">
        <w:rPr>
          <w:lang w:val="bg-BG"/>
        </w:rPr>
        <w:t>, Св. Лилкова-Маркова</w:t>
      </w:r>
      <w:r w:rsidRPr="00D5663B">
        <w:rPr>
          <w:rStyle w:val="FootnoteReference"/>
          <w:lang w:val="bg-BG"/>
        </w:rPr>
        <w:footnoteReference w:id="2"/>
      </w:r>
    </w:p>
    <w:p w:rsidR="009A7066" w:rsidRPr="00D5663B" w:rsidRDefault="009A7066" w:rsidP="00CE3646">
      <w:pPr>
        <w:pStyle w:val="KeyWords"/>
      </w:pPr>
      <w:r w:rsidRPr="00D5663B">
        <w:rPr>
          <w:b/>
        </w:rPr>
        <w:t>Ключови думи</w:t>
      </w:r>
      <w:r w:rsidRPr="00D5663B">
        <w:rPr>
          <w:b/>
          <w:i w:val="0"/>
        </w:rPr>
        <w:t>:</w:t>
      </w:r>
      <w:r w:rsidRPr="00D5663B">
        <w:t xml:space="preserve"> устойчивост, колона, диференциално квадратичен метод</w:t>
      </w:r>
    </w:p>
    <w:p w:rsidR="009A7066" w:rsidRPr="00D5663B" w:rsidRDefault="009A7066" w:rsidP="00CE3646">
      <w:pPr>
        <w:pStyle w:val="KeyWords"/>
      </w:pPr>
      <w:r w:rsidRPr="00D5663B">
        <w:rPr>
          <w:b/>
        </w:rPr>
        <w:t>Научна област</w:t>
      </w:r>
      <w:r w:rsidRPr="00D5663B">
        <w:rPr>
          <w:b/>
          <w:i w:val="0"/>
        </w:rPr>
        <w:t>:</w:t>
      </w:r>
      <w:r w:rsidRPr="00D5663B">
        <w:t xml:space="preserve"> механика</w:t>
      </w:r>
    </w:p>
    <w:p w:rsidR="009A7066" w:rsidRPr="00D5663B" w:rsidRDefault="009A7066" w:rsidP="00B6424D">
      <w:pPr>
        <w:pStyle w:val="Abstract"/>
        <w:rPr>
          <w:lang w:val="bg-BG"/>
        </w:rPr>
      </w:pPr>
      <w:r w:rsidRPr="00D5663B">
        <w:rPr>
          <w:lang w:val="bg-BG"/>
        </w:rPr>
        <w:t>резюме</w:t>
      </w:r>
    </w:p>
    <w:p w:rsidR="009A7066" w:rsidRPr="00D5663B" w:rsidRDefault="009A7066" w:rsidP="00435D40">
      <w:r w:rsidRPr="00D5663B">
        <w:t>Приложен е диференцилно квадратичният метод (ДКМ) за изследване устойчи</w:t>
      </w:r>
      <w:r w:rsidR="002437C9" w:rsidRPr="00D5663B">
        <w:softHyphen/>
      </w:r>
      <w:r w:rsidRPr="00D5663B">
        <w:t>востта на центрично натисната колона с променливо напречно сечение. Тя е ставно подпряна в двата края. Разгледани са два случая на линейно изменение на ширината на напречното сечение по височината на колоната. Получените резултати чрез ДКМ са сравнени с тези от точното решение.</w:t>
      </w:r>
    </w:p>
    <w:p w:rsidR="009A7066" w:rsidRPr="00D5663B" w:rsidRDefault="009A7066" w:rsidP="00F6156C">
      <w:pPr>
        <w:pStyle w:val="Heading1"/>
      </w:pPr>
      <w:r w:rsidRPr="00D5663B">
        <w:t>1. Въведение</w:t>
      </w:r>
    </w:p>
    <w:p w:rsidR="009A7066" w:rsidRPr="00D5663B" w:rsidRDefault="009A7066" w:rsidP="002616D3">
      <w:r w:rsidRPr="00D5663B">
        <w:t>Определянето на големината на критичната сила на колона е често срещана задача в строителното инженерство. Изборът на променливо напречно сечение се обуславя от различни съображения – икономичност, сигурност, естетика и др.</w:t>
      </w:r>
    </w:p>
    <w:p w:rsidR="009A7066" w:rsidRPr="00D5663B" w:rsidRDefault="009A7066" w:rsidP="002616D3">
      <w:r w:rsidRPr="00D5663B">
        <w:t>Първи по-значими изследвания на устойчивостта на колони с променливо напречно сечение са извършени от Динник през 1914 г. Към ранните проучвания по тази тема се отнася и това на Тимошенко [8].</w:t>
      </w:r>
    </w:p>
    <w:p w:rsidR="009A7066" w:rsidRPr="00D5663B" w:rsidRDefault="009A7066" w:rsidP="002616D3">
      <w:r w:rsidRPr="00D5663B">
        <w:lastRenderedPageBreak/>
        <w:t>Числените методи се използват все повече поради голямото развитие и разпро</w:t>
      </w:r>
      <w:r w:rsidR="00D5663B" w:rsidRPr="00304629">
        <w:softHyphen/>
      </w:r>
      <w:r w:rsidRPr="00D5663B">
        <w:t>странение на компютърните технологии. Диференциално квадратичният метод (ДКМ) е предложен от Белман и Касти [4] през 1971 г. По-късно Шу и Ричардс [7] прилаг</w:t>
      </w:r>
      <w:r w:rsidR="00D5663B">
        <w:t xml:space="preserve">ат ДКМ, като правят подобрения </w:t>
      </w:r>
      <w:r w:rsidRPr="00D5663B">
        <w:t xml:space="preserve">при избора на възли. ДКМ е много ефективен числен метод. В сравнение с метода на крайните елементи и метода на крайните разлики, ДКМ изисква значително по-малко ресурс от оперативна памет, време за </w:t>
      </w:r>
      <w:r w:rsidRPr="00D5663B">
        <w:rPr>
          <w:spacing w:val="-8"/>
        </w:rPr>
        <w:t>изчисление и брой на възлови точки за постигане на точност на решението от същия порядък.</w:t>
      </w:r>
    </w:p>
    <w:p w:rsidR="009A7066" w:rsidRPr="00D5663B" w:rsidRDefault="009A7066" w:rsidP="002616D3">
      <w:r w:rsidRPr="00D5663B">
        <w:t>В настоящата статия се изследва устойчивостта на ставно подпряна колона с променливо напречно сечение. Решението се извършва чрез ДКМ. Получените резул</w:t>
      </w:r>
      <w:r w:rsidR="00D5663B" w:rsidRPr="00304629">
        <w:softHyphen/>
      </w:r>
      <w:r w:rsidRPr="00D5663B">
        <w:t>тати са сравнени с точните стойности, дадени в [1].</w:t>
      </w:r>
    </w:p>
    <w:p w:rsidR="009A7066" w:rsidRPr="00D5663B" w:rsidRDefault="009A7066" w:rsidP="00EE0BDB">
      <w:pPr>
        <w:pStyle w:val="Heading1"/>
      </w:pPr>
      <w:r w:rsidRPr="00D5663B">
        <w:t>2. Диференциално квадратичен метод</w:t>
      </w:r>
    </w:p>
    <w:p w:rsidR="009A7066" w:rsidRPr="00D5663B" w:rsidRDefault="009A7066" w:rsidP="00EE0BDB">
      <w:r w:rsidRPr="00D5663B">
        <w:t xml:space="preserve">Произволна непрекъсната функция </w:t>
      </w:r>
      <w:r w:rsidRPr="00D5663B">
        <w:rPr>
          <w:i/>
        </w:rPr>
        <w:t>f</w:t>
      </w:r>
      <w:r w:rsidRPr="00D5663B">
        <w:t>(</w:t>
      </w:r>
      <w:r w:rsidRPr="00D5663B">
        <w:rPr>
          <w:i/>
        </w:rPr>
        <w:t>x</w:t>
      </w:r>
      <w:r w:rsidRPr="00D5663B">
        <w:t>) в интервала [</w:t>
      </w:r>
      <w:r w:rsidRPr="00D5663B">
        <w:rPr>
          <w:i/>
        </w:rPr>
        <w:t>a,b</w:t>
      </w:r>
      <w:r w:rsidRPr="00D5663B">
        <w:t>] се представя приблизи</w:t>
      </w:r>
      <w:r w:rsidR="00D5663B" w:rsidRPr="00304629">
        <w:softHyphen/>
      </w:r>
      <w:r w:rsidRPr="00D5663B">
        <w:t xml:space="preserve">телно чрез интерполационния полином на Лагранж </w:t>
      </w:r>
      <w:r w:rsidRPr="00D5663B">
        <w:rPr>
          <w:i/>
        </w:rPr>
        <w:t>P</w:t>
      </w:r>
      <w:r w:rsidRPr="00D5663B">
        <w:rPr>
          <w:i/>
          <w:vertAlign w:val="subscript"/>
        </w:rPr>
        <w:t xml:space="preserve">N </w:t>
      </w:r>
      <w:r w:rsidRPr="00D5663B">
        <w:t>(</w:t>
      </w:r>
      <w:r w:rsidRPr="00D5663B">
        <w:rPr>
          <w:i/>
        </w:rPr>
        <w:t>x</w:t>
      </w:r>
      <w:r w:rsidRPr="00D5663B">
        <w:t>) по следния начин:</w:t>
      </w:r>
    </w:p>
    <w:p w:rsidR="009A7066" w:rsidRPr="00304629" w:rsidRDefault="009A7066" w:rsidP="00D5663B">
      <w:pPr>
        <w:pStyle w:val="Equation"/>
        <w:rPr>
          <w:lang w:val="bg-BG"/>
        </w:rPr>
      </w:pPr>
      <w:r w:rsidRPr="00D5663B">
        <w:rPr>
          <w:position w:val="-24"/>
        </w:rPr>
        <w:object w:dxaOrig="2299" w:dyaOrig="580">
          <v:shape id="_x0000_i1026" type="#_x0000_t75" style="width:114.5pt;height:28.5pt" o:ole="">
            <v:imagedata r:id="rId12" o:title=""/>
          </v:shape>
          <o:OLEObject Type="Embed" ProgID="Equation.3" ShapeID="_x0000_i1026" DrawAspect="Content" ObjectID="_1494406499" r:id="rId13"/>
        </w:object>
      </w:r>
      <w:r w:rsidRPr="00304629">
        <w:rPr>
          <w:lang w:val="bg-BG"/>
        </w:rPr>
        <w:t>,</w:t>
      </w:r>
      <w:r w:rsidR="00D5663B" w:rsidRPr="00304629">
        <w:rPr>
          <w:lang w:val="bg-BG"/>
        </w:rPr>
        <w:tab/>
      </w:r>
      <w:r w:rsidRPr="00304629">
        <w:rPr>
          <w:lang w:val="bg-BG"/>
        </w:rPr>
        <w:t>(1)</w:t>
      </w:r>
    </w:p>
    <w:p w:rsidR="009A7066" w:rsidRPr="00D5663B" w:rsidRDefault="009A7066" w:rsidP="00EE0BDB">
      <w:pPr>
        <w:ind w:firstLine="0"/>
      </w:pPr>
      <w:r w:rsidRPr="00D5663B">
        <w:t xml:space="preserve">където </w:t>
      </w:r>
      <w:r w:rsidRPr="00D5663B">
        <w:rPr>
          <w:i/>
        </w:rPr>
        <w:t>N</w:t>
      </w:r>
      <w:r w:rsidRPr="00D5663B">
        <w:t xml:space="preserve"> е броят на възлите; </w:t>
      </w:r>
      <w:r w:rsidRPr="00D5663B">
        <w:rPr>
          <w:i/>
        </w:rPr>
        <w:t>f</w:t>
      </w:r>
      <w:r w:rsidRPr="00D5663B">
        <w:t>(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  <w:r w:rsidRPr="00D5663B">
        <w:t xml:space="preserve">) − стойността на функцията във възел 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  <w:r w:rsidRPr="00D5663B">
        <w:t xml:space="preserve">, а </w:t>
      </w:r>
      <w:r w:rsidRPr="00D5663B">
        <w:rPr>
          <w:i/>
        </w:rPr>
        <w:t>l</w:t>
      </w:r>
      <w:r w:rsidRPr="00D5663B">
        <w:rPr>
          <w:i/>
          <w:vertAlign w:val="subscript"/>
        </w:rPr>
        <w:t>i</w:t>
      </w:r>
      <w:r w:rsidRPr="00D5663B">
        <w:t>(</w:t>
      </w:r>
      <w:r w:rsidRPr="00D5663B">
        <w:rPr>
          <w:i/>
        </w:rPr>
        <w:t>x</w:t>
      </w:r>
      <w:r w:rsidRPr="00D5663B">
        <w:t>) − коефициентите на Лагранж. Последните могат да се определят от следните изрази:</w:t>
      </w:r>
    </w:p>
    <w:p w:rsidR="009A7066" w:rsidRPr="00304629" w:rsidRDefault="009A7066" w:rsidP="00D45D08">
      <w:pPr>
        <w:pStyle w:val="Equation"/>
        <w:spacing w:before="180" w:after="180"/>
        <w:rPr>
          <w:lang w:val="bg-BG"/>
        </w:rPr>
      </w:pPr>
      <w:r w:rsidRPr="00D5663B">
        <w:rPr>
          <w:position w:val="-26"/>
        </w:rPr>
        <w:object w:dxaOrig="1939" w:dyaOrig="600">
          <v:shape id="_x0000_i1027" type="#_x0000_t75" style="width:96pt;height:30pt" o:ole="">
            <v:imagedata r:id="rId14" o:title=""/>
          </v:shape>
          <o:OLEObject Type="Embed" ProgID="Equation.3" ShapeID="_x0000_i1027" DrawAspect="Content" ObjectID="_1494406500" r:id="rId15"/>
        </w:object>
      </w:r>
      <w:r w:rsidRPr="00304629">
        <w:rPr>
          <w:lang w:val="bg-BG"/>
        </w:rPr>
        <w:t>,</w:t>
      </w:r>
      <w:r w:rsidR="00D5663B" w:rsidRPr="00304629">
        <w:rPr>
          <w:lang w:val="bg-BG"/>
        </w:rPr>
        <w:tab/>
      </w:r>
      <w:r w:rsidRPr="00304629">
        <w:rPr>
          <w:lang w:val="bg-BG"/>
        </w:rPr>
        <w:t>(2)</w:t>
      </w:r>
    </w:p>
    <w:p w:rsidR="009A7066" w:rsidRPr="00D5663B" w:rsidRDefault="009A7066" w:rsidP="00D65817">
      <w:pPr>
        <w:ind w:firstLine="0"/>
      </w:pPr>
      <w:r w:rsidRPr="00D5663B">
        <w:t xml:space="preserve">където </w:t>
      </w:r>
      <w:r w:rsidRPr="00D5663B">
        <w:rPr>
          <w:i/>
        </w:rPr>
        <w:t>M</w:t>
      </w:r>
      <w:r w:rsidRPr="00D5663B">
        <w:t>(</w:t>
      </w:r>
      <w:r w:rsidRPr="00D5663B">
        <w:rPr>
          <w:i/>
        </w:rPr>
        <w:t>x</w:t>
      </w:r>
      <w:r w:rsidRPr="00D5663B">
        <w:t>)=(</w:t>
      </w:r>
      <w:r w:rsidRPr="00D5663B">
        <w:rPr>
          <w:i/>
        </w:rPr>
        <w:t>x</w:t>
      </w:r>
      <w:r w:rsidRPr="00D5663B">
        <w:t>-</w:t>
      </w:r>
      <w:r w:rsidRPr="00D5663B">
        <w:rPr>
          <w:i/>
        </w:rPr>
        <w:t>x</w:t>
      </w:r>
      <w:r w:rsidRPr="00D5663B">
        <w:rPr>
          <w:vertAlign w:val="subscript"/>
        </w:rPr>
        <w:t>1</w:t>
      </w:r>
      <w:r w:rsidRPr="00D5663B">
        <w:t>)(</w:t>
      </w:r>
      <w:r w:rsidRPr="00D5663B">
        <w:rPr>
          <w:i/>
        </w:rPr>
        <w:t>x</w:t>
      </w:r>
      <w:r w:rsidRPr="00D5663B">
        <w:t>-</w:t>
      </w:r>
      <w:r w:rsidRPr="00D5663B">
        <w:rPr>
          <w:i/>
        </w:rPr>
        <w:t>x</w:t>
      </w:r>
      <w:r w:rsidRPr="00D5663B">
        <w:rPr>
          <w:vertAlign w:val="subscript"/>
        </w:rPr>
        <w:t>2</w:t>
      </w:r>
      <w:r w:rsidRPr="00D5663B">
        <w:t>)…(</w:t>
      </w:r>
      <w:r w:rsidRPr="00D5663B">
        <w:rPr>
          <w:i/>
        </w:rPr>
        <w:t>x</w:t>
      </w:r>
      <w:r w:rsidRPr="00D5663B">
        <w:t>-</w:t>
      </w:r>
      <w:r w:rsidRPr="00D5663B">
        <w:rPr>
          <w:i/>
        </w:rPr>
        <w:t>x</w:t>
      </w:r>
      <w:r w:rsidRPr="00D5663B">
        <w:rPr>
          <w:i/>
          <w:vertAlign w:val="subscript"/>
        </w:rPr>
        <w:t>N</w:t>
      </w:r>
      <w:r w:rsidRPr="00D5663B">
        <w:t>), a</w:t>
      </w:r>
      <w:r w:rsidRPr="00D5663B">
        <w:rPr>
          <w:color w:val="FF0000"/>
        </w:rPr>
        <w:t xml:space="preserve"> </w:t>
      </w:r>
      <w:r w:rsidRPr="00D5663B">
        <w:rPr>
          <w:i/>
        </w:rPr>
        <w:t xml:space="preserve">M </w:t>
      </w:r>
      <w:r w:rsidRPr="00D5663B">
        <w:rPr>
          <w:vertAlign w:val="superscript"/>
        </w:rPr>
        <w:t>(1)</w:t>
      </w:r>
      <w:r w:rsidRPr="00D5663B">
        <w:t>(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  <w:r w:rsidRPr="00D5663B">
        <w:t>)=(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  <w:r w:rsidRPr="00D5663B">
        <w:t>-</w:t>
      </w:r>
      <w:r w:rsidRPr="00D5663B">
        <w:rPr>
          <w:i/>
        </w:rPr>
        <w:t>x</w:t>
      </w:r>
      <w:r w:rsidRPr="00D5663B">
        <w:rPr>
          <w:vertAlign w:val="subscript"/>
        </w:rPr>
        <w:t>1</w:t>
      </w:r>
      <w:r w:rsidRPr="00D5663B">
        <w:t>)…(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  <w:r w:rsidRPr="00D5663B">
        <w:t>-</w:t>
      </w:r>
      <w:r w:rsidRPr="00D5663B">
        <w:rPr>
          <w:i/>
        </w:rPr>
        <w:t>x</w:t>
      </w:r>
      <w:r w:rsidRPr="00D5663B">
        <w:rPr>
          <w:vertAlign w:val="subscript"/>
        </w:rPr>
        <w:t>i-1</w:t>
      </w:r>
      <w:r w:rsidRPr="00D5663B">
        <w:t>)(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  <w:r w:rsidRPr="00D5663B">
        <w:t>-</w:t>
      </w:r>
      <w:r w:rsidRPr="00D5663B">
        <w:rPr>
          <w:i/>
        </w:rPr>
        <w:t>x</w:t>
      </w:r>
      <w:r w:rsidRPr="00D5663B">
        <w:rPr>
          <w:vertAlign w:val="subscript"/>
        </w:rPr>
        <w:t>i+1</w:t>
      </w:r>
      <w:r w:rsidRPr="00D5663B">
        <w:t>)…(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  <w:r w:rsidRPr="00D5663B">
        <w:t>-</w:t>
      </w:r>
      <w:r w:rsidRPr="00D5663B">
        <w:rPr>
          <w:i/>
        </w:rPr>
        <w:t>x</w:t>
      </w:r>
      <w:r w:rsidRPr="00D5663B">
        <w:rPr>
          <w:i/>
          <w:vertAlign w:val="subscript"/>
        </w:rPr>
        <w:t>N</w:t>
      </w:r>
      <w:r w:rsidRPr="00D5663B">
        <w:t>).</w:t>
      </w:r>
    </w:p>
    <w:p w:rsidR="009A7066" w:rsidRPr="00304629" w:rsidRDefault="009A7066" w:rsidP="00437AA7">
      <w:pPr>
        <w:rPr>
          <w:spacing w:val="-2"/>
        </w:rPr>
      </w:pPr>
      <w:r w:rsidRPr="00D5663B">
        <w:rPr>
          <w:spacing w:val="-2"/>
        </w:rPr>
        <w:t xml:space="preserve">Коефициентите на Лагранж притежават свойството </w:t>
      </w:r>
      <w:r w:rsidRPr="00D5663B">
        <w:rPr>
          <w:i/>
          <w:spacing w:val="-2"/>
        </w:rPr>
        <w:t>l</w:t>
      </w:r>
      <w:r w:rsidRPr="00D5663B">
        <w:rPr>
          <w:i/>
          <w:spacing w:val="-2"/>
          <w:vertAlign w:val="subscript"/>
        </w:rPr>
        <w:t xml:space="preserve">k </w:t>
      </w:r>
      <w:r w:rsidRPr="00D5663B">
        <w:rPr>
          <w:spacing w:val="-2"/>
        </w:rPr>
        <w:t>(</w:t>
      </w:r>
      <w:r w:rsidRPr="00D5663B">
        <w:rPr>
          <w:i/>
          <w:spacing w:val="-2"/>
        </w:rPr>
        <w:t>x</w:t>
      </w:r>
      <w:r w:rsidRPr="00D5663B">
        <w:rPr>
          <w:i/>
          <w:spacing w:val="-2"/>
          <w:vertAlign w:val="subscript"/>
        </w:rPr>
        <w:t>i</w:t>
      </w:r>
      <w:r w:rsidRPr="00D5663B">
        <w:rPr>
          <w:spacing w:val="-2"/>
        </w:rPr>
        <w:t xml:space="preserve">)=1 за </w:t>
      </w:r>
      <w:r w:rsidRPr="00D5663B">
        <w:rPr>
          <w:i/>
          <w:spacing w:val="-2"/>
        </w:rPr>
        <w:t>i</w:t>
      </w:r>
      <w:r w:rsidRPr="00D5663B">
        <w:rPr>
          <w:spacing w:val="-2"/>
        </w:rPr>
        <w:t>=</w:t>
      </w:r>
      <w:r w:rsidRPr="00D5663B">
        <w:rPr>
          <w:i/>
          <w:spacing w:val="-2"/>
        </w:rPr>
        <w:t>k</w:t>
      </w:r>
      <w:r w:rsidRPr="00D5663B">
        <w:rPr>
          <w:spacing w:val="-2"/>
        </w:rPr>
        <w:t xml:space="preserve"> и </w:t>
      </w:r>
      <w:r w:rsidRPr="00D5663B">
        <w:rPr>
          <w:i/>
          <w:spacing w:val="-2"/>
        </w:rPr>
        <w:t>l</w:t>
      </w:r>
      <w:r w:rsidRPr="00D5663B">
        <w:rPr>
          <w:i/>
          <w:spacing w:val="-2"/>
          <w:vertAlign w:val="subscript"/>
        </w:rPr>
        <w:t xml:space="preserve">k </w:t>
      </w:r>
      <w:r w:rsidRPr="00D5663B">
        <w:rPr>
          <w:spacing w:val="-2"/>
        </w:rPr>
        <w:t>(</w:t>
      </w:r>
      <w:r w:rsidRPr="00D5663B">
        <w:rPr>
          <w:i/>
          <w:spacing w:val="-2"/>
        </w:rPr>
        <w:t>x</w:t>
      </w:r>
      <w:r w:rsidRPr="00D5663B">
        <w:rPr>
          <w:i/>
          <w:spacing w:val="-2"/>
          <w:vertAlign w:val="subscript"/>
        </w:rPr>
        <w:t>i</w:t>
      </w:r>
      <w:r w:rsidRPr="00D5663B">
        <w:rPr>
          <w:spacing w:val="-2"/>
        </w:rPr>
        <w:t xml:space="preserve">)=0 за </w:t>
      </w:r>
      <w:r w:rsidR="00CE2F98" w:rsidRPr="00CE2F98">
        <w:rPr>
          <w:spacing w:val="-2"/>
          <w:position w:val="-6"/>
        </w:rPr>
        <w:object w:dxaOrig="460" w:dyaOrig="260">
          <v:shape id="_x0000_i1028" type="#_x0000_t75" style="width:23.5pt;height:13pt" o:ole="">
            <v:imagedata r:id="rId16" o:title=""/>
          </v:shape>
          <o:OLEObject Type="Embed" ProgID="Equation.DSMT4" ShapeID="_x0000_i1028" DrawAspect="Content" ObjectID="_1494406501" r:id="rId17"/>
        </w:object>
      </w:r>
      <w:r w:rsidRPr="00D5663B">
        <w:rPr>
          <w:i/>
          <w:spacing w:val="-2"/>
        </w:rPr>
        <w:t>.</w:t>
      </w:r>
    </w:p>
    <w:p w:rsidR="009A7066" w:rsidRPr="00D5663B" w:rsidRDefault="009A7066" w:rsidP="000757A3">
      <w:r w:rsidRPr="00D5663B">
        <w:t xml:space="preserve">Производните от </w:t>
      </w:r>
      <w:r w:rsidRPr="00D5663B">
        <w:rPr>
          <w:i/>
        </w:rPr>
        <w:t>n</w:t>
      </w:r>
      <w:r w:rsidRPr="00D5663B">
        <w:t>-ти ред на функцията</w:t>
      </w:r>
      <w:r w:rsidRPr="00D5663B">
        <w:rPr>
          <w:i/>
        </w:rPr>
        <w:t xml:space="preserve"> </w:t>
      </w:r>
      <w:r w:rsidRPr="00D5663B">
        <w:rPr>
          <w:i/>
          <w:spacing w:val="-20"/>
        </w:rPr>
        <w:t>f</w:t>
      </w:r>
      <w:r w:rsidRPr="00D5663B">
        <w:rPr>
          <w:spacing w:val="-20"/>
          <w:vertAlign w:val="superscript"/>
        </w:rPr>
        <w:t xml:space="preserve"> </w:t>
      </w:r>
      <w:r w:rsidRPr="00D5663B">
        <w:rPr>
          <w:vertAlign w:val="superscript"/>
        </w:rPr>
        <w:t>(</w:t>
      </w:r>
      <w:r w:rsidRPr="00D5663B">
        <w:rPr>
          <w:i/>
          <w:vertAlign w:val="superscript"/>
        </w:rPr>
        <w:t>n</w:t>
      </w:r>
      <w:r w:rsidRPr="00D5663B">
        <w:rPr>
          <w:vertAlign w:val="superscript"/>
        </w:rPr>
        <w:t>)</w:t>
      </w:r>
      <w:r w:rsidRPr="00D5663B">
        <w:t>(</w:t>
      </w:r>
      <w:r w:rsidRPr="00D5663B">
        <w:rPr>
          <w:i/>
        </w:rPr>
        <w:t>x</w:t>
      </w:r>
      <w:r w:rsidRPr="00D5663B">
        <w:t xml:space="preserve">) се представят отново като  линейна комбинация от стойностите на функцията </w:t>
      </w:r>
      <w:r w:rsidRPr="00D5663B">
        <w:rPr>
          <w:i/>
        </w:rPr>
        <w:t>f</w:t>
      </w:r>
      <w:r w:rsidRPr="00D5663B">
        <w:t>(</w:t>
      </w:r>
      <w:r w:rsidRPr="00D5663B">
        <w:rPr>
          <w:i/>
        </w:rPr>
        <w:t>x</w:t>
      </w:r>
      <w:r w:rsidRPr="00D5663B">
        <w:t>) в същите възли</w:t>
      </w:r>
      <w:r w:rsidRPr="00D5663B">
        <w:rPr>
          <w:i/>
        </w:rPr>
        <w:t xml:space="preserve"> x</w:t>
      </w:r>
      <w:r w:rsidRPr="00D5663B">
        <w:rPr>
          <w:i/>
          <w:vertAlign w:val="subscript"/>
        </w:rPr>
        <w:t>i</w:t>
      </w:r>
      <w:r w:rsidRPr="00D5663B">
        <w:t>:</w:t>
      </w:r>
    </w:p>
    <w:p w:rsidR="009A7066" w:rsidRPr="008D53AA" w:rsidRDefault="009A7066" w:rsidP="00D45D08">
      <w:pPr>
        <w:pStyle w:val="Equation"/>
        <w:spacing w:before="180" w:after="180"/>
        <w:rPr>
          <w:lang w:val="ru-RU"/>
        </w:rPr>
      </w:pPr>
      <w:r w:rsidRPr="00D5663B">
        <w:rPr>
          <w:position w:val="-24"/>
        </w:rPr>
        <w:object w:dxaOrig="1820" w:dyaOrig="580">
          <v:shape id="_x0000_i1029" type="#_x0000_t75" style="width:90.5pt;height:29.5pt" o:ole="">
            <v:imagedata r:id="rId18" o:title=""/>
          </v:shape>
          <o:OLEObject Type="Embed" ProgID="Equation.3" ShapeID="_x0000_i1029" DrawAspect="Content" ObjectID="_1494406502" r:id="rId19"/>
        </w:object>
      </w:r>
      <w:r w:rsidRPr="008D53AA">
        <w:rPr>
          <w:lang w:val="ru-RU"/>
        </w:rPr>
        <w:t>.</w:t>
      </w:r>
      <w:r w:rsidR="00D5663B" w:rsidRPr="008D53AA">
        <w:rPr>
          <w:lang w:val="ru-RU"/>
        </w:rPr>
        <w:tab/>
      </w:r>
      <w:r w:rsidRPr="008D53AA">
        <w:rPr>
          <w:lang w:val="ru-RU"/>
        </w:rPr>
        <w:t>(3)</w:t>
      </w:r>
    </w:p>
    <w:p w:rsidR="009A7066" w:rsidRPr="00D5663B" w:rsidRDefault="009A7066" w:rsidP="00D52E44">
      <w:pPr>
        <w:rPr>
          <w:spacing w:val="-8"/>
        </w:rPr>
      </w:pPr>
      <w:r w:rsidRPr="00D5663B">
        <w:rPr>
          <w:i/>
        </w:rPr>
        <w:t>f</w:t>
      </w:r>
      <w:r w:rsidRPr="00D5663B">
        <w:t>(</w:t>
      </w:r>
      <w:r w:rsidRPr="00D5663B">
        <w:rPr>
          <w:i/>
        </w:rPr>
        <w:t>x</w:t>
      </w:r>
      <w:r w:rsidRPr="00D5663B">
        <w:rPr>
          <w:i/>
          <w:vertAlign w:val="subscript"/>
        </w:rPr>
        <w:t>j</w:t>
      </w:r>
      <w:r w:rsidRPr="00D5663B">
        <w:t xml:space="preserve">) е стойност на функцията във възел </w:t>
      </w:r>
      <w:r w:rsidRPr="00D5663B">
        <w:rPr>
          <w:i/>
        </w:rPr>
        <w:t>x</w:t>
      </w:r>
      <w:r w:rsidRPr="00D5663B">
        <w:rPr>
          <w:i/>
          <w:vertAlign w:val="subscript"/>
        </w:rPr>
        <w:t>j</w:t>
      </w:r>
      <w:r w:rsidRPr="00D5663B">
        <w:t xml:space="preserve">, </w:t>
      </w:r>
      <w:r w:rsidRPr="00D5663B">
        <w:rPr>
          <w:i/>
        </w:rPr>
        <w:t>c</w:t>
      </w:r>
      <w:r w:rsidRPr="00D5663B">
        <w:rPr>
          <w:i/>
          <w:vertAlign w:val="subscript"/>
        </w:rPr>
        <w:t>ij</w:t>
      </w:r>
      <w:r w:rsidRPr="00D5663B">
        <w:rPr>
          <w:vertAlign w:val="superscript"/>
        </w:rPr>
        <w:t>(</w:t>
      </w:r>
      <w:r w:rsidRPr="00D5663B">
        <w:rPr>
          <w:i/>
          <w:vertAlign w:val="superscript"/>
        </w:rPr>
        <w:t>n</w:t>
      </w:r>
      <w:r w:rsidRPr="00D5663B">
        <w:rPr>
          <w:vertAlign w:val="superscript"/>
        </w:rPr>
        <w:t>)</w:t>
      </w:r>
      <w:r w:rsidRPr="00D5663B">
        <w:t xml:space="preserve"> са теглови множители, които зависят от реда на производната и от броя възли. При подхода на Куан и Чанг, даден в </w:t>
      </w:r>
      <w:r w:rsidRPr="00D5663B">
        <w:rPr>
          <w:spacing w:val="-8"/>
        </w:rPr>
        <w:t xml:space="preserve">[6], </w:t>
      </w:r>
      <w:r w:rsidRPr="00D5663B">
        <w:t>тегловите коефициенти на първата производна се определят от</w:t>
      </w:r>
      <w:r w:rsidRPr="00D5663B">
        <w:rPr>
          <w:spacing w:val="-8"/>
        </w:rPr>
        <w:t xml:space="preserve"> </w:t>
      </w:r>
    </w:p>
    <w:p w:rsidR="009A7066" w:rsidRPr="00304629" w:rsidRDefault="009A7066" w:rsidP="00D45D08">
      <w:pPr>
        <w:pStyle w:val="Equation"/>
        <w:spacing w:before="180" w:after="180"/>
        <w:rPr>
          <w:color w:val="FF0000"/>
          <w:lang w:val="bg-BG"/>
        </w:rPr>
      </w:pPr>
      <w:r w:rsidRPr="00D5663B">
        <w:rPr>
          <w:position w:val="-28"/>
        </w:rPr>
        <w:object w:dxaOrig="1900" w:dyaOrig="639">
          <v:shape id="_x0000_i1030" type="#_x0000_t75" style="width:95.5pt;height:32pt" o:ole="">
            <v:imagedata r:id="rId20" o:title=""/>
          </v:shape>
          <o:OLEObject Type="Embed" ProgID="Equation.3" ShapeID="_x0000_i1030" DrawAspect="Content" ObjectID="_1494406503" r:id="rId21"/>
        </w:object>
      </w:r>
      <w:r w:rsidRPr="00304629">
        <w:rPr>
          <w:lang w:val="bg-BG"/>
        </w:rPr>
        <w:t xml:space="preserve">, за  </w:t>
      </w:r>
      <w:r w:rsidRPr="00D5663B">
        <w:rPr>
          <w:i/>
        </w:rPr>
        <w:t>i</w:t>
      </w:r>
      <w:r w:rsidRPr="00304629">
        <w:rPr>
          <w:lang w:val="bg-BG"/>
        </w:rPr>
        <w:t xml:space="preserve"> ≠ </w:t>
      </w:r>
      <w:r w:rsidRPr="00D5663B">
        <w:rPr>
          <w:i/>
        </w:rPr>
        <w:t>j</w:t>
      </w:r>
      <w:r w:rsidRPr="00304629">
        <w:rPr>
          <w:i/>
          <w:lang w:val="bg-BG"/>
        </w:rPr>
        <w:t xml:space="preserve"> </w:t>
      </w:r>
      <w:r w:rsidRPr="00304629">
        <w:rPr>
          <w:lang w:val="bg-BG"/>
        </w:rPr>
        <w:t xml:space="preserve">,          </w:t>
      </w:r>
      <w:r w:rsidRPr="00D5663B">
        <w:rPr>
          <w:position w:val="-28"/>
        </w:rPr>
        <w:object w:dxaOrig="1200" w:dyaOrig="620">
          <v:shape id="_x0000_i1031" type="#_x0000_t75" style="width:60pt;height:31.5pt" o:ole="">
            <v:imagedata r:id="rId22" o:title=""/>
          </v:shape>
          <o:OLEObject Type="Embed" ProgID="Equation.3" ShapeID="_x0000_i1031" DrawAspect="Content" ObjectID="_1494406504" r:id="rId23"/>
        </w:object>
      </w:r>
      <w:r w:rsidRPr="00304629">
        <w:rPr>
          <w:lang w:val="bg-BG"/>
        </w:rPr>
        <w:t>.</w:t>
      </w:r>
      <w:r w:rsidR="00D5663B" w:rsidRPr="00304629">
        <w:rPr>
          <w:lang w:val="bg-BG"/>
        </w:rPr>
        <w:tab/>
      </w:r>
      <w:r w:rsidRPr="00304629">
        <w:rPr>
          <w:lang w:val="bg-BG"/>
        </w:rPr>
        <w:t>(4)</w:t>
      </w:r>
    </w:p>
    <w:p w:rsidR="009A7066" w:rsidRPr="00D5663B" w:rsidRDefault="009A7066" w:rsidP="0071643C">
      <w:r w:rsidRPr="00D5663B">
        <w:t>За определяне на тегловите коефициенти на производните от по-висок ред в случая е използван подходът на матричното размножаване, при който</w:t>
      </w:r>
    </w:p>
    <w:p w:rsidR="009A7066" w:rsidRPr="00304629" w:rsidRDefault="00304629" w:rsidP="00D45D08">
      <w:pPr>
        <w:pStyle w:val="Equation"/>
        <w:spacing w:before="180" w:after="180"/>
        <w:rPr>
          <w:lang w:val="bg-BG"/>
        </w:rPr>
      </w:pPr>
      <w:r w:rsidRPr="00304629">
        <w:rPr>
          <w:position w:val="-20"/>
        </w:rPr>
        <w:object w:dxaOrig="5660" w:dyaOrig="499">
          <v:shape id="_x0000_i1032" type="#_x0000_t75" style="width:280pt;height:25.5pt" o:ole="">
            <v:imagedata r:id="rId24" o:title=""/>
          </v:shape>
          <o:OLEObject Type="Embed" ProgID="Equation.DSMT4" ShapeID="_x0000_i1032" DrawAspect="Content" ObjectID="_1494406505" r:id="rId25"/>
        </w:object>
      </w:r>
      <w:r w:rsidR="009A7066" w:rsidRPr="00304629">
        <w:rPr>
          <w:lang w:val="bg-BG"/>
        </w:rPr>
        <w:t>,</w:t>
      </w:r>
      <w:r w:rsidR="00D5663B" w:rsidRPr="00304629">
        <w:rPr>
          <w:lang w:val="bg-BG"/>
        </w:rPr>
        <w:tab/>
      </w:r>
      <w:r w:rsidR="009A7066" w:rsidRPr="00304629">
        <w:rPr>
          <w:lang w:val="bg-BG"/>
        </w:rPr>
        <w:t>(5)</w:t>
      </w:r>
    </w:p>
    <w:p w:rsidR="009A7066" w:rsidRPr="00D5663B" w:rsidRDefault="009A7066" w:rsidP="00D4544E">
      <w:pPr>
        <w:ind w:firstLine="0"/>
      </w:pPr>
      <w:r w:rsidRPr="00D5663B">
        <w:lastRenderedPageBreak/>
        <w:t>където [</w:t>
      </w:r>
      <w:r w:rsidRPr="00D5663B">
        <w:rPr>
          <w:i/>
        </w:rPr>
        <w:t>C</w:t>
      </w:r>
      <w:r w:rsidRPr="00D5663B">
        <w:rPr>
          <w:vertAlign w:val="superscript"/>
        </w:rPr>
        <w:t>(</w:t>
      </w:r>
      <w:r w:rsidRPr="00D5663B">
        <w:rPr>
          <w:i/>
          <w:vertAlign w:val="superscript"/>
        </w:rPr>
        <w:t>m</w:t>
      </w:r>
      <w:r w:rsidRPr="00D5663B">
        <w:rPr>
          <w:vertAlign w:val="superscript"/>
        </w:rPr>
        <w:t>)</w:t>
      </w:r>
      <w:r w:rsidRPr="00D5663B">
        <w:t xml:space="preserve">] е матрицата на тегловите множители на производната от </w:t>
      </w:r>
      <w:r w:rsidRPr="00D5663B">
        <w:rPr>
          <w:i/>
        </w:rPr>
        <w:t>m</w:t>
      </w:r>
      <w:r w:rsidRPr="00D5663B">
        <w:t>–ти ред, а [C</w:t>
      </w:r>
      <w:r w:rsidRPr="00D5663B">
        <w:rPr>
          <w:vertAlign w:val="superscript"/>
        </w:rPr>
        <w:t>(1)</w:t>
      </w:r>
      <w:r w:rsidRPr="00D5663B">
        <w:t>] е матрицата на тегловите множители на първата производна. Те имат следния вид:</w:t>
      </w:r>
    </w:p>
    <w:p w:rsidR="009A7066" w:rsidRPr="00304629" w:rsidRDefault="00CA7613" w:rsidP="00D45D08">
      <w:pPr>
        <w:pStyle w:val="Equation"/>
        <w:spacing w:before="180" w:after="180"/>
        <w:rPr>
          <w:position w:val="-90"/>
          <w:lang w:val="bg-BG"/>
        </w:rPr>
      </w:pPr>
      <w:r w:rsidRPr="00CA7613">
        <w:rPr>
          <w:position w:val="-72"/>
        </w:rPr>
        <w:object w:dxaOrig="2560" w:dyaOrig="1540">
          <v:shape id="_x0000_i1033" type="#_x0000_t75" style="width:126.5pt;height:75pt" o:ole="">
            <v:imagedata r:id="rId26" o:title=""/>
          </v:shape>
          <o:OLEObject Type="Embed" ProgID="Equation.DSMT4" ShapeID="_x0000_i1033" DrawAspect="Content" ObjectID="_1494406506" r:id="rId27"/>
        </w:object>
      </w:r>
      <w:r w:rsidR="009A7066" w:rsidRPr="00304629">
        <w:rPr>
          <w:lang w:val="bg-BG"/>
        </w:rPr>
        <w:t xml:space="preserve">, …, </w:t>
      </w:r>
      <w:r w:rsidRPr="00CA7613">
        <w:rPr>
          <w:position w:val="-72"/>
        </w:rPr>
        <w:object w:dxaOrig="2740" w:dyaOrig="1540">
          <v:shape id="_x0000_i1034" type="#_x0000_t75" style="width:136pt;height:75pt" o:ole="">
            <v:imagedata r:id="rId28" o:title=""/>
          </v:shape>
          <o:OLEObject Type="Embed" ProgID="Equation.DSMT4" ShapeID="_x0000_i1034" DrawAspect="Content" ObjectID="_1494406507" r:id="rId29"/>
        </w:object>
      </w:r>
      <w:r w:rsidR="009A7066" w:rsidRPr="00304629">
        <w:rPr>
          <w:lang w:val="bg-BG"/>
        </w:rPr>
        <w:t>.</w:t>
      </w:r>
      <w:r w:rsidRPr="00304629">
        <w:rPr>
          <w:lang w:val="bg-BG"/>
        </w:rPr>
        <w:tab/>
      </w:r>
      <w:r w:rsidR="009A7066" w:rsidRPr="00304629">
        <w:rPr>
          <w:lang w:val="bg-BG"/>
        </w:rPr>
        <w:t>(6)</w:t>
      </w:r>
    </w:p>
    <w:p w:rsidR="009A7066" w:rsidRPr="00D5663B" w:rsidRDefault="009A7066" w:rsidP="0071643C">
      <w:r w:rsidRPr="00D5663B">
        <w:t>Точността на ДКМ зависи от броя на възловите точки и тяхното разпределение в интервала, особено когато се отчитат гранични условия. При намаляване на разстоя</w:t>
      </w:r>
      <w:r w:rsidR="00CA7613" w:rsidRPr="00304629">
        <w:softHyphen/>
      </w:r>
      <w:r w:rsidRPr="00D5663B">
        <w:t>нията между възлите в краищата на разглеждания интервал се получава по-добра сходимост на решението, отколкото при равномерно разпределение на възловите точ</w:t>
      </w:r>
      <w:r w:rsidR="00CA7613" w:rsidRPr="00304629">
        <w:softHyphen/>
      </w:r>
      <w:r w:rsidRPr="00D5663B">
        <w:t xml:space="preserve">ки. Координатата на произволна точка 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  <w:r w:rsidRPr="00D5663B">
        <w:t xml:space="preserve"> в интервала [</w:t>
      </w:r>
      <w:r w:rsidRPr="00D5663B">
        <w:rPr>
          <w:i/>
        </w:rPr>
        <w:t>a</w:t>
      </w:r>
      <w:r w:rsidRPr="00D5663B">
        <w:t>,</w:t>
      </w:r>
      <w:r w:rsidRPr="00D5663B">
        <w:rPr>
          <w:i/>
        </w:rPr>
        <w:t>b</w:t>
      </w:r>
      <w:r w:rsidRPr="00D5663B">
        <w:t>] при равномерно разпреде</w:t>
      </w:r>
      <w:r w:rsidR="00CA7613" w:rsidRPr="00304629">
        <w:softHyphen/>
      </w:r>
      <w:r w:rsidRPr="00D5663B">
        <w:t>ление на възлите може да се определи чрез</w:t>
      </w:r>
    </w:p>
    <w:p w:rsidR="009A7066" w:rsidRPr="00304629" w:rsidRDefault="00CA7613" w:rsidP="00D45D08">
      <w:pPr>
        <w:pStyle w:val="Equation"/>
        <w:spacing w:before="180" w:after="180"/>
        <w:rPr>
          <w:lang w:val="bg-BG"/>
        </w:rPr>
      </w:pPr>
      <w:r w:rsidRPr="00CA7613">
        <w:rPr>
          <w:position w:val="-22"/>
        </w:rPr>
        <w:object w:dxaOrig="1840" w:dyaOrig="560">
          <v:shape id="_x0000_i1035" type="#_x0000_t75" style="width:90pt;height:28.5pt" o:ole="">
            <v:imagedata r:id="rId30" o:title=""/>
          </v:shape>
          <o:OLEObject Type="Embed" ProgID="Equation.DSMT4" ShapeID="_x0000_i1035" DrawAspect="Content" ObjectID="_1494406508" r:id="rId31"/>
        </w:object>
      </w:r>
      <w:r w:rsidRPr="00304629">
        <w:rPr>
          <w:lang w:val="bg-BG"/>
        </w:rPr>
        <w:tab/>
      </w:r>
      <w:r w:rsidR="009A7066" w:rsidRPr="00304629">
        <w:rPr>
          <w:lang w:val="bg-BG"/>
        </w:rPr>
        <w:t>(7)</w:t>
      </w:r>
    </w:p>
    <w:p w:rsidR="009A7066" w:rsidRPr="00D5663B" w:rsidRDefault="009A7066" w:rsidP="0071643C">
      <w:r w:rsidRPr="00D5663B">
        <w:t>Най-голямо приложение намират т.</w:t>
      </w:r>
      <w:r w:rsidR="001F4E8C">
        <w:t xml:space="preserve"> </w:t>
      </w:r>
      <w:r w:rsidRPr="00D5663B">
        <w:t>нар. Чебишев-Гаус-Лобато (</w:t>
      </w:r>
      <w:r w:rsidRPr="00D5663B">
        <w:rPr>
          <w:rFonts w:eastAsia="AdvGulliv-R"/>
        </w:rPr>
        <w:t xml:space="preserve">Chebyshev–Gauss–Lobatto) </w:t>
      </w:r>
      <w:r w:rsidRPr="00D5663B">
        <w:t>възли, чиито предимства са дискутирани в [5]:</w:t>
      </w:r>
    </w:p>
    <w:p w:rsidR="009A7066" w:rsidRPr="00304629" w:rsidRDefault="000F5691" w:rsidP="00CA7613">
      <w:pPr>
        <w:pStyle w:val="Equation"/>
        <w:rPr>
          <w:lang w:val="bg-BG"/>
        </w:rPr>
      </w:pPr>
      <w:r w:rsidRPr="00CA7613">
        <w:rPr>
          <w:position w:val="-26"/>
        </w:rPr>
        <w:object w:dxaOrig="4080" w:dyaOrig="620">
          <v:shape id="_x0000_i1036" type="#_x0000_t75" style="width:202pt;height:32pt" o:ole="">
            <v:imagedata r:id="rId32" o:title=""/>
          </v:shape>
          <o:OLEObject Type="Embed" ProgID="Equation.DSMT4" ShapeID="_x0000_i1036" DrawAspect="Content" ObjectID="_1494406509" r:id="rId33"/>
        </w:object>
      </w:r>
      <w:r w:rsidR="009A7066" w:rsidRPr="00304629">
        <w:rPr>
          <w:lang w:val="bg-BG"/>
        </w:rPr>
        <w:t>.</w:t>
      </w:r>
      <w:r w:rsidR="00CA7613" w:rsidRPr="00304629">
        <w:rPr>
          <w:lang w:val="bg-BG"/>
        </w:rPr>
        <w:tab/>
      </w:r>
      <w:r w:rsidR="009A7066" w:rsidRPr="00304629">
        <w:rPr>
          <w:lang w:val="bg-BG"/>
        </w:rPr>
        <w:t>(8)</w:t>
      </w:r>
    </w:p>
    <w:p w:rsidR="009A7066" w:rsidRPr="000F3039" w:rsidRDefault="009A7066" w:rsidP="000F3039">
      <w:pPr>
        <w:pStyle w:val="Heading1"/>
      </w:pPr>
      <w:r w:rsidRPr="000F3039">
        <w:t>3. Приложение на диференциално квадратичния метод за изследване на устойчивост на колон</w:t>
      </w:r>
      <w:r w:rsidR="000F3039">
        <w:t>а с променливо</w:t>
      </w:r>
      <w:r w:rsidR="000F3039" w:rsidRPr="00304629">
        <w:br/>
      </w:r>
      <w:r w:rsidRPr="000F3039">
        <w:t>напречно сечение</w:t>
      </w:r>
    </w:p>
    <w:p w:rsidR="009A7066" w:rsidRPr="00304629" w:rsidRDefault="009A7066" w:rsidP="00C565B7">
      <w:pPr>
        <w:rPr>
          <w:color w:val="FF0000"/>
        </w:rPr>
      </w:pPr>
      <w:r w:rsidRPr="00D5663B">
        <w:t xml:space="preserve">Задачата за устойчивост на колона, натоварена с натискова сила </w:t>
      </w:r>
      <w:r w:rsidRPr="00D5663B">
        <w:rPr>
          <w:i/>
        </w:rPr>
        <w:t>F</w:t>
      </w:r>
      <w:r w:rsidRPr="00D5663B">
        <w:t xml:space="preserve"> и постоянно напречно сечение, е разгледана и в учебниците по съпротивление на материалите [3]. </w:t>
      </w:r>
    </w:p>
    <w:p w:rsidR="009A7066" w:rsidRPr="00D5663B" w:rsidRDefault="009A7066" w:rsidP="00C565B7">
      <w:r w:rsidRPr="00D5663B">
        <w:t>При изменение на напречното сечение по височина на колоната диферен</w:t>
      </w:r>
      <w:r w:rsidR="000F3039" w:rsidRPr="00304629">
        <w:softHyphen/>
      </w:r>
      <w:r w:rsidRPr="00D5663B">
        <w:t xml:space="preserve">циалното уравнение, описващо проблема, e [8] </w:t>
      </w:r>
    </w:p>
    <w:p w:rsidR="009A7066" w:rsidRPr="00304629" w:rsidRDefault="000F3039" w:rsidP="00D45D08">
      <w:pPr>
        <w:pStyle w:val="Equation"/>
        <w:spacing w:before="180" w:after="180"/>
        <w:rPr>
          <w:lang w:val="bg-BG"/>
        </w:rPr>
      </w:pPr>
      <w:r w:rsidRPr="000F3039">
        <w:rPr>
          <w:position w:val="-24"/>
        </w:rPr>
        <w:object w:dxaOrig="2480" w:dyaOrig="639">
          <v:shape id="_x0000_i1037" type="#_x0000_t75" style="width:123pt;height:31.5pt" o:ole="">
            <v:imagedata r:id="rId34" o:title=""/>
          </v:shape>
          <o:OLEObject Type="Embed" ProgID="Equation.DSMT4" ShapeID="_x0000_i1037" DrawAspect="Content" ObjectID="_1494406510" r:id="rId35"/>
        </w:object>
      </w:r>
      <w:r w:rsidRPr="00304629">
        <w:rPr>
          <w:lang w:val="bg-BG"/>
        </w:rPr>
        <w:tab/>
      </w:r>
      <w:r w:rsidR="009A7066" w:rsidRPr="00304629">
        <w:rPr>
          <w:lang w:val="bg-BG"/>
        </w:rPr>
        <w:t>(9)</w:t>
      </w:r>
    </w:p>
    <w:p w:rsidR="009A7066" w:rsidRPr="00D5663B" w:rsidRDefault="009A7066" w:rsidP="009000DA">
      <w:r w:rsidRPr="00D5663B">
        <w:t xml:space="preserve">Линейната променлива, която се изменя по оста на гредата е означена с </w:t>
      </w:r>
      <w:r w:rsidRPr="00D5663B">
        <w:rPr>
          <w:i/>
        </w:rPr>
        <w:t>x</w:t>
      </w:r>
      <w:r w:rsidRPr="00D5663B">
        <w:sym w:font="Symbol" w:char="F0CE"/>
      </w:r>
      <w:r w:rsidRPr="00D5663B">
        <w:t xml:space="preserve">[0, </w:t>
      </w:r>
      <w:r w:rsidRPr="00D5663B">
        <w:rPr>
          <w:i/>
        </w:rPr>
        <w:t>l</w:t>
      </w:r>
      <w:r w:rsidRPr="00D5663B">
        <w:t xml:space="preserve">], </w:t>
      </w:r>
      <w:r w:rsidRPr="00D5663B">
        <w:rPr>
          <w:i/>
        </w:rPr>
        <w:t>EI</w:t>
      </w:r>
      <w:r w:rsidRPr="00D5663B">
        <w:rPr>
          <w:i/>
          <w:vertAlign w:val="subscript"/>
        </w:rPr>
        <w:t>y</w:t>
      </w:r>
      <w:r w:rsidRPr="00D5663B">
        <w:t>(</w:t>
      </w:r>
      <w:r w:rsidRPr="00D5663B">
        <w:rPr>
          <w:i/>
        </w:rPr>
        <w:t>x</w:t>
      </w:r>
      <w:r w:rsidRPr="00D5663B">
        <w:t xml:space="preserve">) е коравината на огъване, а </w:t>
      </w:r>
      <w:r w:rsidRPr="00D5663B">
        <w:rPr>
          <w:i/>
        </w:rPr>
        <w:t>w</w:t>
      </w:r>
      <w:r w:rsidRPr="00D5663B">
        <w:t>(</w:t>
      </w:r>
      <w:r w:rsidRPr="00D5663B">
        <w:rPr>
          <w:i/>
        </w:rPr>
        <w:t>x</w:t>
      </w:r>
      <w:r w:rsidRPr="00D5663B">
        <w:t xml:space="preserve">) </w:t>
      </w:r>
      <w:r w:rsidR="000F3039" w:rsidRPr="00304629">
        <w:t>–</w:t>
      </w:r>
      <w:r w:rsidRPr="00D5663B">
        <w:t xml:space="preserve"> функцията на напречните премествания. </w:t>
      </w:r>
    </w:p>
    <w:p w:rsidR="009A7066" w:rsidRPr="00D5663B" w:rsidRDefault="009A7066" w:rsidP="009000DA">
      <w:pPr>
        <w:rPr>
          <w:color w:val="000000"/>
        </w:rPr>
      </w:pPr>
      <w:r w:rsidRPr="00D5663B">
        <w:rPr>
          <w:color w:val="000000"/>
        </w:rPr>
        <w:t xml:space="preserve">Въвежда се основен инерционен момент </w:t>
      </w:r>
      <w:r w:rsidRPr="00D5663B">
        <w:rPr>
          <w:i/>
        </w:rPr>
        <w:t>I</w:t>
      </w:r>
      <w:r w:rsidRPr="00D5663B">
        <w:rPr>
          <w:vertAlign w:val="subscript"/>
        </w:rPr>
        <w:t>1</w:t>
      </w:r>
      <w:r w:rsidRPr="00D5663B">
        <w:rPr>
          <w:color w:val="000000"/>
        </w:rPr>
        <w:t xml:space="preserve"> (при </w:t>
      </w:r>
      <w:r w:rsidRPr="00D5663B">
        <w:rPr>
          <w:i/>
          <w:color w:val="000000"/>
        </w:rPr>
        <w:t>x</w:t>
      </w:r>
      <w:r w:rsidRPr="00D5663B">
        <w:rPr>
          <w:color w:val="000000"/>
        </w:rPr>
        <w:t xml:space="preserve">=0). След полагане на </w:t>
      </w:r>
      <w:r w:rsidRPr="00D5663B">
        <w:rPr>
          <w:i/>
          <w:color w:val="000000"/>
          <w:spacing w:val="20"/>
        </w:rPr>
        <w:t>a</w:t>
      </w:r>
      <w:r w:rsidRPr="00D5663B">
        <w:rPr>
          <w:color w:val="000000"/>
          <w:spacing w:val="20"/>
        </w:rPr>
        <w:t>(</w:t>
      </w:r>
      <w:r w:rsidRPr="00D5663B">
        <w:rPr>
          <w:i/>
          <w:color w:val="000000"/>
          <w:spacing w:val="20"/>
        </w:rPr>
        <w:t>x</w:t>
      </w:r>
      <w:r w:rsidRPr="00D5663B">
        <w:rPr>
          <w:color w:val="000000"/>
          <w:spacing w:val="20"/>
        </w:rPr>
        <w:t>)=</w:t>
      </w:r>
      <w:r w:rsidRPr="00D5663B">
        <w:rPr>
          <w:i/>
          <w:color w:val="000000"/>
          <w:spacing w:val="20"/>
        </w:rPr>
        <w:t>l</w:t>
      </w:r>
      <w:r w:rsidRPr="00D5663B">
        <w:rPr>
          <w:color w:val="000000"/>
          <w:spacing w:val="20"/>
          <w:vertAlign w:val="superscript"/>
        </w:rPr>
        <w:t>2</w:t>
      </w:r>
      <w:r w:rsidRPr="00D5663B">
        <w:rPr>
          <w:i/>
          <w:color w:val="000000"/>
          <w:spacing w:val="20"/>
        </w:rPr>
        <w:t>I</w:t>
      </w:r>
      <w:r w:rsidRPr="00D5663B">
        <w:rPr>
          <w:i/>
          <w:color w:val="000000"/>
          <w:spacing w:val="20"/>
          <w:vertAlign w:val="subscript"/>
        </w:rPr>
        <w:t>y</w:t>
      </w:r>
      <w:r w:rsidRPr="00D5663B">
        <w:rPr>
          <w:color w:val="000000"/>
          <w:spacing w:val="20"/>
        </w:rPr>
        <w:t>(</w:t>
      </w:r>
      <w:r w:rsidRPr="00D5663B">
        <w:rPr>
          <w:i/>
          <w:color w:val="000000"/>
          <w:spacing w:val="20"/>
        </w:rPr>
        <w:t>x</w:t>
      </w:r>
      <w:r w:rsidRPr="00D5663B">
        <w:rPr>
          <w:color w:val="000000"/>
          <w:spacing w:val="20"/>
        </w:rPr>
        <w:t>)/</w:t>
      </w:r>
      <w:r w:rsidRPr="00D5663B">
        <w:rPr>
          <w:i/>
          <w:color w:val="000000"/>
          <w:spacing w:val="20"/>
        </w:rPr>
        <w:t>I</w:t>
      </w:r>
      <w:r w:rsidRPr="00D5663B">
        <w:rPr>
          <w:color w:val="000000"/>
          <w:spacing w:val="20"/>
          <w:vertAlign w:val="subscript"/>
        </w:rPr>
        <w:t>1</w:t>
      </w:r>
      <w:r w:rsidRPr="00D5663B">
        <w:rPr>
          <w:color w:val="000000"/>
        </w:rPr>
        <w:t xml:space="preserve"> и </w:t>
      </w:r>
      <w:r w:rsidRPr="00D5663B">
        <w:rPr>
          <w:i/>
          <w:color w:val="000000"/>
          <w:spacing w:val="20"/>
        </w:rPr>
        <w:sym w:font="Symbol" w:char="F062"/>
      </w:r>
      <w:r w:rsidRPr="00D5663B">
        <w:rPr>
          <w:color w:val="000000"/>
          <w:spacing w:val="20"/>
        </w:rPr>
        <w:t>=</w:t>
      </w:r>
      <w:r w:rsidRPr="00D5663B">
        <w:rPr>
          <w:i/>
          <w:color w:val="000000"/>
          <w:spacing w:val="20"/>
        </w:rPr>
        <w:t>Fl</w:t>
      </w:r>
      <w:r w:rsidRPr="00D5663B">
        <w:rPr>
          <w:color w:val="000000"/>
          <w:spacing w:val="20"/>
          <w:vertAlign w:val="superscript"/>
        </w:rPr>
        <w:t>2</w:t>
      </w:r>
      <w:r w:rsidRPr="00D5663B">
        <w:rPr>
          <w:i/>
          <w:color w:val="000000"/>
          <w:spacing w:val="20"/>
        </w:rPr>
        <w:t>/</w:t>
      </w:r>
      <w:r w:rsidRPr="00D5663B">
        <w:rPr>
          <w:color w:val="000000"/>
          <w:spacing w:val="20"/>
        </w:rPr>
        <w:t>(</w:t>
      </w:r>
      <w:r w:rsidRPr="00D5663B">
        <w:rPr>
          <w:i/>
          <w:color w:val="000000"/>
          <w:spacing w:val="20"/>
        </w:rPr>
        <w:t>EI</w:t>
      </w:r>
      <w:r w:rsidRPr="00D5663B">
        <w:rPr>
          <w:color w:val="000000"/>
          <w:spacing w:val="20"/>
          <w:vertAlign w:val="subscript"/>
        </w:rPr>
        <w:t>1</w:t>
      </w:r>
      <w:r w:rsidRPr="00D5663B">
        <w:rPr>
          <w:color w:val="000000"/>
        </w:rPr>
        <w:t>) се получава диференциалното уравнение:</w:t>
      </w:r>
    </w:p>
    <w:p w:rsidR="009A7066" w:rsidRPr="00304629" w:rsidRDefault="000F3039" w:rsidP="00D45D08">
      <w:pPr>
        <w:pStyle w:val="Equation"/>
        <w:spacing w:before="180" w:after="180"/>
        <w:rPr>
          <w:lang w:val="bg-BG"/>
        </w:rPr>
      </w:pPr>
      <w:r w:rsidRPr="000F3039">
        <w:rPr>
          <w:position w:val="-24"/>
        </w:rPr>
        <w:object w:dxaOrig="2260" w:dyaOrig="639">
          <v:shape id="_x0000_i1038" type="#_x0000_t75" style="width:113pt;height:31.5pt" o:ole="">
            <v:imagedata r:id="rId36" o:title=""/>
          </v:shape>
          <o:OLEObject Type="Embed" ProgID="Equation.DSMT4" ShapeID="_x0000_i1038" DrawAspect="Content" ObjectID="_1494406511" r:id="rId37"/>
        </w:object>
      </w:r>
      <w:r w:rsidRPr="00304629">
        <w:rPr>
          <w:lang w:val="bg-BG"/>
        </w:rPr>
        <w:tab/>
      </w:r>
      <w:r w:rsidR="009A7066" w:rsidRPr="00304629">
        <w:rPr>
          <w:lang w:val="bg-BG"/>
        </w:rPr>
        <w:t>(10)</w:t>
      </w:r>
    </w:p>
    <w:p w:rsidR="009A7066" w:rsidRPr="00D5663B" w:rsidRDefault="009A7066" w:rsidP="009000DA">
      <w:r w:rsidRPr="00D5663B">
        <w:t xml:space="preserve">Прилагайки ДКМ, уравнение (10) се записва за всеки възел 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</w:p>
    <w:p w:rsidR="009A7066" w:rsidRPr="00304629" w:rsidRDefault="000F3039" w:rsidP="000F3039">
      <w:pPr>
        <w:pStyle w:val="Equation"/>
        <w:rPr>
          <w:lang w:val="bg-BG"/>
        </w:rPr>
      </w:pPr>
      <w:r w:rsidRPr="000F3039">
        <w:rPr>
          <w:position w:val="-14"/>
        </w:rPr>
        <w:object w:dxaOrig="2460" w:dyaOrig="420">
          <v:shape id="_x0000_i1039" type="#_x0000_t75" style="width:123pt;height:21pt" o:ole="">
            <v:imagedata r:id="rId38" o:title=""/>
          </v:shape>
          <o:OLEObject Type="Embed" ProgID="Equation.DSMT4" ShapeID="_x0000_i1039" DrawAspect="Content" ObjectID="_1494406512" r:id="rId39"/>
        </w:object>
      </w:r>
      <w:r w:rsidRPr="00304629">
        <w:rPr>
          <w:lang w:val="bg-BG"/>
        </w:rPr>
        <w:tab/>
      </w:r>
      <w:r w:rsidR="009A7066" w:rsidRPr="00304629">
        <w:rPr>
          <w:lang w:val="bg-BG"/>
        </w:rPr>
        <w:t>(11)</w:t>
      </w:r>
    </w:p>
    <w:p w:rsidR="009A7066" w:rsidRPr="00D5663B" w:rsidRDefault="009A7066" w:rsidP="000A0807">
      <w:pPr>
        <w:ind w:firstLine="0"/>
        <w:rPr>
          <w:color w:val="FF0000"/>
        </w:rPr>
      </w:pPr>
      <w:r w:rsidRPr="00D5663B">
        <w:t xml:space="preserve">като </w:t>
      </w:r>
      <w:r w:rsidRPr="00D5663B">
        <w:rPr>
          <w:i/>
        </w:rPr>
        <w:t xml:space="preserve">i </w:t>
      </w:r>
      <w:r w:rsidRPr="00D5663B">
        <w:t>се мени от</w:t>
      </w:r>
      <w:r w:rsidRPr="00D5663B">
        <w:rPr>
          <w:i/>
        </w:rPr>
        <w:t xml:space="preserve"> </w:t>
      </w:r>
      <w:r w:rsidRPr="00D5663B">
        <w:t xml:space="preserve">1 до </w:t>
      </w:r>
      <w:r w:rsidRPr="00D5663B">
        <w:rPr>
          <w:i/>
        </w:rPr>
        <w:t>N</w:t>
      </w:r>
      <w:r w:rsidRPr="00D5663B">
        <w:t xml:space="preserve">. След полагане на </w:t>
      </w:r>
      <w:r w:rsidRPr="00D5663B">
        <w:rPr>
          <w:i/>
        </w:rPr>
        <w:t>w</w:t>
      </w:r>
      <w:r w:rsidRPr="00D5663B">
        <w:t>(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  <w:r w:rsidRPr="00D5663B">
        <w:t>)=</w:t>
      </w:r>
      <w:r w:rsidRPr="00D5663B">
        <w:rPr>
          <w:i/>
        </w:rPr>
        <w:t>w</w:t>
      </w:r>
      <w:r w:rsidRPr="00D5663B">
        <w:rPr>
          <w:i/>
          <w:vertAlign w:val="subscript"/>
        </w:rPr>
        <w:t>i</w:t>
      </w:r>
      <w:r w:rsidRPr="00D5663B">
        <w:t xml:space="preserve">, </w:t>
      </w:r>
      <w:r w:rsidRPr="00D5663B">
        <w:rPr>
          <w:i/>
        </w:rPr>
        <w:t>a</w:t>
      </w:r>
      <w:r w:rsidRPr="00D5663B">
        <w:t>(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  <w:r w:rsidRPr="00D5663B">
        <w:t>)=</w:t>
      </w:r>
      <w:r w:rsidRPr="00D5663B">
        <w:rPr>
          <w:i/>
        </w:rPr>
        <w:t>a</w:t>
      </w:r>
      <w:r w:rsidRPr="00D5663B">
        <w:rPr>
          <w:i/>
          <w:vertAlign w:val="subscript"/>
        </w:rPr>
        <w:t xml:space="preserve">i </w:t>
      </w:r>
      <w:r w:rsidRPr="00D5663B">
        <w:t>и отчитане на приблизи</w:t>
      </w:r>
      <w:r w:rsidR="000F3039" w:rsidRPr="00304629">
        <w:softHyphen/>
      </w:r>
      <w:r w:rsidRPr="00D5663B">
        <w:t xml:space="preserve">телното представяне на втората производна на функцията на напречните премествания </w:t>
      </w:r>
      <w:r w:rsidRPr="00D5663B">
        <w:rPr>
          <w:position w:val="-24"/>
        </w:rPr>
        <w:object w:dxaOrig="1579" w:dyaOrig="580">
          <v:shape id="_x0000_i1040" type="#_x0000_t75" style="width:78pt;height:28.5pt" o:ole="">
            <v:imagedata r:id="rId40" o:title=""/>
          </v:shape>
          <o:OLEObject Type="Embed" ProgID="Equation.3" ShapeID="_x0000_i1040" DrawAspect="Content" ObjectID="_1494406513" r:id="rId41"/>
        </w:object>
      </w:r>
      <w:r w:rsidRPr="00D5663B">
        <w:t>, уравнения (11) вече имат следния вид:</w:t>
      </w:r>
    </w:p>
    <w:p w:rsidR="009A7066" w:rsidRPr="00304629" w:rsidRDefault="0092153C" w:rsidP="00D45D08">
      <w:pPr>
        <w:pStyle w:val="Equation"/>
        <w:spacing w:before="240" w:after="240"/>
        <w:rPr>
          <w:lang w:val="bg-BG"/>
        </w:rPr>
      </w:pPr>
      <w:r w:rsidRPr="0092153C">
        <w:rPr>
          <w:position w:val="-24"/>
        </w:rPr>
        <w:object w:dxaOrig="1880" w:dyaOrig="580">
          <v:shape id="_x0000_i1041" type="#_x0000_t75" style="width:93.5pt;height:28.5pt" o:ole="">
            <v:imagedata r:id="rId42" o:title=""/>
          </v:shape>
          <o:OLEObject Type="Embed" ProgID="Equation.DSMT4" ShapeID="_x0000_i1041" DrawAspect="Content" ObjectID="_1494406514" r:id="rId43"/>
        </w:object>
      </w:r>
      <w:r w:rsidR="009A7066" w:rsidRPr="00304629">
        <w:rPr>
          <w:lang w:val="bg-BG"/>
        </w:rPr>
        <w:t>.</w:t>
      </w:r>
      <w:r w:rsidRPr="00304629">
        <w:rPr>
          <w:lang w:val="bg-BG"/>
        </w:rPr>
        <w:tab/>
      </w:r>
      <w:r w:rsidR="009A7066" w:rsidRPr="00304629">
        <w:rPr>
          <w:lang w:val="bg-BG"/>
        </w:rPr>
        <w:t>(12)</w:t>
      </w:r>
    </w:p>
    <w:p w:rsidR="009A7066" w:rsidRPr="00D5663B" w:rsidRDefault="009A7066" w:rsidP="009000DA">
      <w:r w:rsidRPr="00D5663B">
        <w:t xml:space="preserve">Получава се система от </w:t>
      </w:r>
      <w:r w:rsidRPr="00D5663B">
        <w:rPr>
          <w:i/>
        </w:rPr>
        <w:t>N</w:t>
      </w:r>
      <w:r w:rsidRPr="00D5663B">
        <w:t xml:space="preserve"> хомогенни линейни уравнения за напречните пре</w:t>
      </w:r>
      <w:r w:rsidR="00D45D08" w:rsidRPr="00304629">
        <w:softHyphen/>
      </w:r>
      <w:r w:rsidRPr="00D5663B">
        <w:t xml:space="preserve">мествания </w:t>
      </w:r>
      <w:r w:rsidRPr="00D5663B">
        <w:rPr>
          <w:i/>
        </w:rPr>
        <w:t>w</w:t>
      </w:r>
      <w:r w:rsidRPr="00D5663B">
        <w:rPr>
          <w:i/>
          <w:vertAlign w:val="subscript"/>
        </w:rPr>
        <w:t>i</w:t>
      </w:r>
      <w:r w:rsidRPr="00D5663B">
        <w:t>:</w:t>
      </w:r>
    </w:p>
    <w:p w:rsidR="009A7066" w:rsidRPr="00304629" w:rsidRDefault="00D45D08" w:rsidP="00D45D08">
      <w:pPr>
        <w:pStyle w:val="Equation"/>
        <w:spacing w:before="240" w:after="240"/>
        <w:ind w:left="284"/>
        <w:rPr>
          <w:lang w:val="bg-BG"/>
        </w:rPr>
      </w:pPr>
      <w:r w:rsidRPr="0092153C">
        <w:rPr>
          <w:position w:val="-98"/>
        </w:rPr>
        <w:object w:dxaOrig="6759" w:dyaOrig="2060">
          <v:shape id="_x0000_i1042" type="#_x0000_t75" style="width:338.5pt;height:102pt" o:ole="">
            <v:imagedata r:id="rId44" o:title=""/>
          </v:shape>
          <o:OLEObject Type="Embed" ProgID="Equation.DSMT4" ShapeID="_x0000_i1042" DrawAspect="Content" ObjectID="_1494406515" r:id="rId45"/>
        </w:object>
      </w:r>
      <w:r w:rsidR="0092153C" w:rsidRPr="00304629">
        <w:rPr>
          <w:lang w:val="bg-BG"/>
        </w:rPr>
        <w:tab/>
        <w:t>(13)</w:t>
      </w:r>
    </w:p>
    <w:p w:rsidR="009A7066" w:rsidRPr="00D5663B" w:rsidRDefault="009A7066" w:rsidP="0073274E">
      <w:r w:rsidRPr="00D5663B">
        <w:t xml:space="preserve">Системата от уравнения (13) има ненулево решение, когато детерминантата от коефициентите </w:t>
      </w:r>
      <w:r w:rsidR="00D45D08">
        <w:t>ѝ</w:t>
      </w:r>
      <w:r w:rsidRPr="00D5663B">
        <w:t xml:space="preserve"> е равна на нула. Получава се уравнение от </w:t>
      </w:r>
      <w:r w:rsidRPr="00D5663B">
        <w:rPr>
          <w:i/>
        </w:rPr>
        <w:t>N</w:t>
      </w:r>
      <w:r w:rsidRPr="00D5663B">
        <w:t>-та степен спрямо неиз</w:t>
      </w:r>
      <w:r w:rsidR="00D45D08" w:rsidRPr="00304629">
        <w:softHyphen/>
      </w:r>
      <w:r w:rsidRPr="00D5663B">
        <w:t xml:space="preserve">вестната величина </w:t>
      </w:r>
      <w:r w:rsidRPr="00D5663B">
        <w:rPr>
          <w:i/>
        </w:rPr>
        <w:sym w:font="Symbol" w:char="F062"/>
      </w:r>
      <w:r w:rsidRPr="00D5663B">
        <w:t xml:space="preserve">. Най-малката положителна стойност </w:t>
      </w:r>
      <w:r w:rsidRPr="00D5663B">
        <w:rPr>
          <w:i/>
        </w:rPr>
        <w:sym w:font="Symbol" w:char="F062"/>
      </w:r>
      <w:r w:rsidRPr="00D5663B">
        <w:t xml:space="preserve"> съответства на критичната сила </w:t>
      </w:r>
      <w:r w:rsidRPr="00D5663B">
        <w:rPr>
          <w:i/>
        </w:rPr>
        <w:t>F</w:t>
      </w:r>
      <w:r w:rsidRPr="00D5663B">
        <w:rPr>
          <w:i/>
          <w:vertAlign w:val="subscript"/>
        </w:rPr>
        <w:t>cr</w:t>
      </w:r>
      <w:r w:rsidRPr="00D5663B">
        <w:t xml:space="preserve">. </w:t>
      </w:r>
    </w:p>
    <w:p w:rsidR="009A7066" w:rsidRPr="00304629" w:rsidRDefault="00D45D08" w:rsidP="00D45D08">
      <w:pPr>
        <w:pStyle w:val="Equation"/>
        <w:spacing w:before="240" w:after="240"/>
        <w:rPr>
          <w:lang w:val="bg-BG"/>
        </w:rPr>
      </w:pPr>
      <w:r w:rsidRPr="0092153C">
        <w:rPr>
          <w:position w:val="-22"/>
        </w:rPr>
        <w:object w:dxaOrig="1040" w:dyaOrig="560">
          <v:shape id="_x0000_i1043" type="#_x0000_t75" style="width:51.5pt;height:27.5pt" o:ole="">
            <v:imagedata r:id="rId46" o:title=""/>
          </v:shape>
          <o:OLEObject Type="Embed" ProgID="Equation.DSMT4" ShapeID="_x0000_i1043" DrawAspect="Content" ObjectID="_1494406516" r:id="rId47"/>
        </w:object>
      </w:r>
      <w:r w:rsidR="009A7066" w:rsidRPr="00304629">
        <w:rPr>
          <w:lang w:val="bg-BG"/>
        </w:rPr>
        <w:t>.</w:t>
      </w:r>
      <w:r w:rsidR="0092153C" w:rsidRPr="00304629">
        <w:rPr>
          <w:lang w:val="bg-BG"/>
        </w:rPr>
        <w:tab/>
      </w:r>
      <w:r w:rsidR="009A7066" w:rsidRPr="00304629">
        <w:rPr>
          <w:lang w:val="bg-BG"/>
        </w:rPr>
        <w:t>(14)</w:t>
      </w:r>
    </w:p>
    <w:p w:rsidR="009A7066" w:rsidRPr="00D5663B" w:rsidRDefault="009A7066" w:rsidP="00212AA3">
      <w:r w:rsidRPr="00D5663B">
        <w:t xml:space="preserve">От уравнение (14) ясно се вижда, че изменението на параметъра </w:t>
      </w:r>
      <w:r w:rsidRPr="00D5663B">
        <w:rPr>
          <w:i/>
        </w:rPr>
        <w:sym w:font="Symbol" w:char="F062"/>
      </w:r>
      <w:r w:rsidRPr="00D5663B">
        <w:t xml:space="preserve"> изцяло отра</w:t>
      </w:r>
      <w:r w:rsidR="00D45D08" w:rsidRPr="00304629">
        <w:softHyphen/>
      </w:r>
      <w:r w:rsidRPr="00D5663B">
        <w:t xml:space="preserve">зява промяната на критичната сила </w:t>
      </w:r>
      <w:r w:rsidRPr="00D5663B">
        <w:rPr>
          <w:i/>
        </w:rPr>
        <w:t>F</w:t>
      </w:r>
      <w:r w:rsidRPr="00D5663B">
        <w:rPr>
          <w:i/>
          <w:vertAlign w:val="subscript"/>
        </w:rPr>
        <w:t>cr</w:t>
      </w:r>
      <w:r w:rsidRPr="00D5663B">
        <w:t>.</w:t>
      </w:r>
    </w:p>
    <w:p w:rsidR="009A7066" w:rsidRPr="00D5663B" w:rsidRDefault="009A7066" w:rsidP="00AB1667">
      <w:r w:rsidRPr="00D5663B">
        <w:t>За конкретната статическа схема на колоната трябва да се отчетат и граничните условия. Te са свързани с напречнoтo преместванe, завъртанe, огъващ момент или на</w:t>
      </w:r>
      <w:r w:rsidR="00D45D08" w:rsidRPr="00304629">
        <w:softHyphen/>
      </w:r>
      <w:r w:rsidRPr="00D5663B">
        <w:t>пречнa силa в крайните сечения. Тези зависимости се изразяват чрез стойността в кон</w:t>
      </w:r>
      <w:r w:rsidR="00D45D08" w:rsidRPr="00304629">
        <w:softHyphen/>
      </w:r>
      <w:r w:rsidRPr="00D5663B">
        <w:t>кретния възел съответно на функцията на напречното преместване, нейната първа, втора или трета производна.</w:t>
      </w:r>
    </w:p>
    <w:p w:rsidR="009A7066" w:rsidRPr="00D5663B" w:rsidRDefault="009A7066" w:rsidP="00D45D08">
      <w:pPr>
        <w:pStyle w:val="Heading1"/>
        <w:spacing w:before="480"/>
      </w:pPr>
      <w:r w:rsidRPr="00D5663B">
        <w:t>4. Числени примери</w:t>
      </w:r>
    </w:p>
    <w:p w:rsidR="009A7066" w:rsidRPr="00D5663B" w:rsidRDefault="009A7066" w:rsidP="00406A72">
      <w:pPr>
        <w:rPr>
          <w:color w:val="FF0000"/>
        </w:rPr>
      </w:pPr>
      <w:r w:rsidRPr="00D5663B">
        <w:t>Колоната е ставно подпряна в двата си края и е натоварена центрично с натис</w:t>
      </w:r>
      <w:r w:rsidR="00D45D08" w:rsidRPr="00304629">
        <w:softHyphen/>
      </w:r>
      <w:r w:rsidRPr="00D5663B">
        <w:t xml:space="preserve">кова сила </w:t>
      </w:r>
      <w:r w:rsidRPr="00D5663B">
        <w:rPr>
          <w:position w:val="-4"/>
        </w:rPr>
        <w:object w:dxaOrig="220" w:dyaOrig="220">
          <v:shape id="_x0000_i1044" type="#_x0000_t75" style="width:10.5pt;height:10.5pt" o:ole="">
            <v:imagedata r:id="rId48" o:title=""/>
          </v:shape>
          <o:OLEObject Type="Embed" ProgID="Equation.3" ShapeID="_x0000_i1044" DrawAspect="Content" ObjectID="_1494406517" r:id="rId49"/>
        </w:object>
      </w:r>
      <w:r w:rsidRPr="00D5663B">
        <w:t xml:space="preserve">. Напречното </w:t>
      </w:r>
      <w:r w:rsidR="00D45D08">
        <w:t>ѝ</w:t>
      </w:r>
      <w:r w:rsidRPr="00D5663B">
        <w:t xml:space="preserve"> сечение е правоъгълно, като само по-малкият му размер </w:t>
      </w:r>
      <w:r w:rsidRPr="00D5663B">
        <w:rPr>
          <w:i/>
        </w:rPr>
        <w:t>b</w:t>
      </w:r>
      <w:r w:rsidRPr="00D5663B">
        <w:t>(</w:t>
      </w:r>
      <w:r w:rsidRPr="00D5663B">
        <w:rPr>
          <w:i/>
        </w:rPr>
        <w:t>x</w:t>
      </w:r>
      <w:r w:rsidRPr="00D5663B">
        <w:t xml:space="preserve">) се изменя линейно по височина на колоната. Разглеждат се: </w:t>
      </w:r>
      <w:r w:rsidRPr="00D5663B">
        <w:rPr>
          <w:b/>
        </w:rPr>
        <w:t>случай 1</w:t>
      </w:r>
      <w:r w:rsidRPr="00D5663B">
        <w:t xml:space="preserve"> – симет</w:t>
      </w:r>
      <w:r w:rsidR="00D45D08" w:rsidRPr="00304629">
        <w:softHyphen/>
      </w:r>
      <w:r w:rsidRPr="00D5663B">
        <w:t xml:space="preserve">рично (спрямо средата на колоната) изменение на ширината на сечението; </w:t>
      </w:r>
      <w:r w:rsidRPr="00D5663B">
        <w:rPr>
          <w:b/>
        </w:rPr>
        <w:t>случай 2</w:t>
      </w:r>
      <w:r w:rsidRPr="00D5663B">
        <w:t xml:space="preserve"> – линейно изменение на ширината на сечението по цялата височина на колоната.</w:t>
      </w:r>
      <w:r w:rsidRPr="00D5663B">
        <w:rPr>
          <w:color w:val="FF0000"/>
        </w:rPr>
        <w:t xml:space="preserve">  </w:t>
      </w:r>
    </w:p>
    <w:p w:rsidR="009A7066" w:rsidRPr="00D5663B" w:rsidRDefault="008D53AA" w:rsidP="00D45D08">
      <w:pPr>
        <w:pStyle w:val="Fig"/>
      </w:pPr>
      <w:r>
        <w:rPr>
          <w:noProof/>
        </w:rPr>
        <w:lastRenderedPageBreak/>
        <w:pict>
          <v:shape id="Картина 3" o:spid="_x0000_i1045" type="#_x0000_t75" style="width:358pt;height:159pt;visibility:visible">
            <v:imagedata r:id="rId50" o:title=""/>
          </v:shape>
        </w:pict>
      </w:r>
    </w:p>
    <w:p w:rsidR="009A7066" w:rsidRPr="008D53AA" w:rsidRDefault="009A7066" w:rsidP="00D45D08">
      <w:pPr>
        <w:pStyle w:val="Fig"/>
        <w:rPr>
          <w:color w:val="000000"/>
          <w:lang w:val="ru-RU"/>
        </w:rPr>
      </w:pPr>
      <w:r w:rsidRPr="008D53AA">
        <w:rPr>
          <w:color w:val="000000"/>
          <w:lang w:val="ru-RU"/>
        </w:rPr>
        <w:t xml:space="preserve">   случай 1                                                                                 случай 2</w:t>
      </w:r>
    </w:p>
    <w:p w:rsidR="009A7066" w:rsidRPr="008D53AA" w:rsidRDefault="009A7066" w:rsidP="00D45D08">
      <w:pPr>
        <w:pStyle w:val="Fig"/>
        <w:rPr>
          <w:color w:val="000000"/>
          <w:lang w:val="ru-RU"/>
        </w:rPr>
      </w:pPr>
      <w:r w:rsidRPr="008D53AA">
        <w:rPr>
          <w:color w:val="000000"/>
          <w:lang w:val="ru-RU"/>
        </w:rPr>
        <w:t>Фиг. 1. Схеми на разглежданите колони</w:t>
      </w:r>
    </w:p>
    <w:p w:rsidR="009A7066" w:rsidRPr="005A1A3A" w:rsidRDefault="009A7066" w:rsidP="005A1A3A">
      <w:pPr>
        <w:pStyle w:val="Heading2"/>
      </w:pPr>
      <w:r w:rsidRPr="005A1A3A">
        <w:t>4.1. Случай 1</w:t>
      </w:r>
    </w:p>
    <w:p w:rsidR="009A7066" w:rsidRPr="00D5663B" w:rsidRDefault="009A7066" w:rsidP="00437AA7">
      <w:pPr>
        <w:rPr>
          <w:color w:val="000000"/>
        </w:rPr>
      </w:pPr>
      <w:r w:rsidRPr="00D5663B">
        <w:rPr>
          <w:color w:val="000000"/>
        </w:rPr>
        <w:t>Използва се симетрията и се разглежда само едната половина на колоната. Но</w:t>
      </w:r>
      <w:r w:rsidR="00D45D08" w:rsidRPr="00304629">
        <w:rPr>
          <w:color w:val="000000"/>
        </w:rPr>
        <w:softHyphen/>
      </w:r>
      <w:r w:rsidRPr="00D5663B">
        <w:rPr>
          <w:color w:val="000000"/>
        </w:rPr>
        <w:t xml:space="preserve">мерата на възлите върху тази част са от 1 до </w:t>
      </w:r>
      <w:r w:rsidRPr="00D5663B">
        <w:rPr>
          <w:i/>
          <w:color w:val="000000"/>
        </w:rPr>
        <w:t>N</w:t>
      </w:r>
      <w:r w:rsidRPr="00D5663B">
        <w:rPr>
          <w:color w:val="000000"/>
        </w:rPr>
        <w:t>.</w:t>
      </w:r>
      <w:r w:rsidRPr="00D5663B">
        <w:rPr>
          <w:color w:val="FF0000"/>
        </w:rPr>
        <w:t xml:space="preserve"> </w:t>
      </w:r>
      <w:r w:rsidRPr="00D5663B">
        <w:t>Чрез функцията на инерционния мо</w:t>
      </w:r>
      <w:r w:rsidR="00D45D08" w:rsidRPr="00304629">
        <w:softHyphen/>
      </w:r>
      <w:r w:rsidRPr="00D5663B">
        <w:t xml:space="preserve">мент </w:t>
      </w:r>
      <w:r w:rsidRPr="00D5663B">
        <w:rPr>
          <w:i/>
        </w:rPr>
        <w:t>I</w:t>
      </w:r>
      <w:r w:rsidRPr="00D5663B">
        <w:rPr>
          <w:i/>
          <w:vertAlign w:val="subscript"/>
        </w:rPr>
        <w:t>y</w:t>
      </w:r>
      <w:r w:rsidRPr="00D5663B">
        <w:t>(</w:t>
      </w:r>
      <w:r w:rsidRPr="00D5663B">
        <w:rPr>
          <w:i/>
        </w:rPr>
        <w:t>x</w:t>
      </w:r>
      <w:r w:rsidRPr="00D5663B">
        <w:t>)=</w:t>
      </w:r>
      <w:r w:rsidRPr="00D5663B">
        <w:rPr>
          <w:i/>
        </w:rPr>
        <w:t>h</w:t>
      </w:r>
      <w:r w:rsidRPr="00D5663B">
        <w:rPr>
          <w:vertAlign w:val="superscript"/>
        </w:rPr>
        <w:t>3</w:t>
      </w:r>
      <w:r w:rsidRPr="00D5663B">
        <w:rPr>
          <w:i/>
        </w:rPr>
        <w:t>b</w:t>
      </w:r>
      <w:r w:rsidRPr="00D5663B">
        <w:t>(</w:t>
      </w:r>
      <w:r w:rsidRPr="00D5663B">
        <w:rPr>
          <w:i/>
        </w:rPr>
        <w:t>x</w:t>
      </w:r>
      <w:r w:rsidRPr="00D5663B">
        <w:t xml:space="preserve">)/12 се определят стойностите на </w:t>
      </w:r>
      <w:r w:rsidRPr="00D5663B">
        <w:rPr>
          <w:i/>
        </w:rPr>
        <w:t>a</w:t>
      </w:r>
      <w:r w:rsidRPr="00D5663B">
        <w:t>(</w:t>
      </w:r>
      <w:r w:rsidRPr="00D5663B">
        <w:rPr>
          <w:i/>
        </w:rPr>
        <w:t>x</w:t>
      </w:r>
      <w:r w:rsidRPr="00D5663B">
        <w:rPr>
          <w:i/>
          <w:vertAlign w:val="subscript"/>
        </w:rPr>
        <w:t>i</w:t>
      </w:r>
      <w:r w:rsidRPr="00D5663B">
        <w:t>)=</w:t>
      </w:r>
      <w:r w:rsidRPr="00D5663B">
        <w:rPr>
          <w:i/>
        </w:rPr>
        <w:t>a</w:t>
      </w:r>
      <w:r w:rsidRPr="00D5663B">
        <w:rPr>
          <w:i/>
          <w:vertAlign w:val="subscript"/>
        </w:rPr>
        <w:t>i</w:t>
      </w:r>
      <w:r w:rsidRPr="00D5663B">
        <w:t xml:space="preserve"> във</w:t>
      </w:r>
      <w:r w:rsidRPr="00D5663B">
        <w:rPr>
          <w:color w:val="000000"/>
        </w:rPr>
        <w:t xml:space="preserve"> възел </w:t>
      </w:r>
      <w:r w:rsidRPr="00D5663B">
        <w:rPr>
          <w:i/>
          <w:color w:val="000000"/>
        </w:rPr>
        <w:t>x</w:t>
      </w:r>
      <w:r w:rsidRPr="00D5663B">
        <w:rPr>
          <w:i/>
          <w:color w:val="000000"/>
          <w:vertAlign w:val="subscript"/>
        </w:rPr>
        <w:t>i</w:t>
      </w:r>
    </w:p>
    <w:p w:rsidR="009A7066" w:rsidRPr="00304629" w:rsidRDefault="00D45D08" w:rsidP="00D45D08">
      <w:pPr>
        <w:pStyle w:val="Equation"/>
        <w:rPr>
          <w:color w:val="000000"/>
          <w:lang w:val="bg-BG"/>
        </w:rPr>
      </w:pPr>
      <w:r w:rsidRPr="00D45D08">
        <w:rPr>
          <w:position w:val="-30"/>
        </w:rPr>
        <w:object w:dxaOrig="2060" w:dyaOrig="700">
          <v:shape id="_x0000_i1046" type="#_x0000_t75" style="width:103pt;height:34.5pt" o:ole="">
            <v:imagedata r:id="rId51" o:title=""/>
          </v:shape>
          <o:OLEObject Type="Embed" ProgID="Equation.DSMT4" ShapeID="_x0000_i1046" DrawAspect="Content" ObjectID="_1494406518" r:id="rId52"/>
        </w:object>
      </w:r>
      <w:r w:rsidR="009A7066" w:rsidRPr="00304629">
        <w:rPr>
          <w:color w:val="000000"/>
          <w:lang w:val="bg-BG"/>
        </w:rPr>
        <w:tab/>
        <w:t>(15)</w:t>
      </w:r>
    </w:p>
    <w:p w:rsidR="009A7066" w:rsidRPr="00D5663B" w:rsidRDefault="009A7066" w:rsidP="004A6AB6">
      <w:r w:rsidRPr="00D5663B">
        <w:t>Отчитат се граничните у</w:t>
      </w:r>
      <w:r w:rsidR="005A1A3A">
        <w:t xml:space="preserve">словия, като се съобразява, че </w:t>
      </w:r>
      <w:r w:rsidRPr="00D5663B">
        <w:t xml:space="preserve">при опорното сечение напречнoто преместванe </w:t>
      </w:r>
      <w:r w:rsidRPr="00D5663B">
        <w:rPr>
          <w:i/>
        </w:rPr>
        <w:t>w</w:t>
      </w:r>
      <w:r w:rsidRPr="00D5663B">
        <w:t xml:space="preserve">(0)=0 и огъващият момент са равни на нула </w:t>
      </w:r>
      <w:r w:rsidRPr="00D5663B">
        <w:rPr>
          <w:i/>
        </w:rPr>
        <w:t>d</w:t>
      </w:r>
      <w:r w:rsidRPr="00D5663B">
        <w:rPr>
          <w:i/>
          <w:vertAlign w:val="superscript"/>
        </w:rPr>
        <w:t xml:space="preserve"> </w:t>
      </w:r>
      <w:r w:rsidRPr="00D5663B">
        <w:rPr>
          <w:vertAlign w:val="superscript"/>
        </w:rPr>
        <w:t>2</w:t>
      </w:r>
      <w:r w:rsidRPr="00D5663B">
        <w:rPr>
          <w:i/>
        </w:rPr>
        <w:t>w</w:t>
      </w:r>
      <w:r w:rsidRPr="00D5663B">
        <w:t>(0)/</w:t>
      </w:r>
      <w:r w:rsidRPr="00D5663B">
        <w:rPr>
          <w:i/>
        </w:rPr>
        <w:t>dx</w:t>
      </w:r>
      <w:r w:rsidRPr="00D5663B">
        <w:rPr>
          <w:vertAlign w:val="superscript"/>
        </w:rPr>
        <w:t>2</w:t>
      </w:r>
      <w:r w:rsidRPr="00D5663B">
        <w:t xml:space="preserve">=0. За другото разглеждано сечение, което в случая е средно за колоната, се използва фактът, че поради симетрията то не се завърта </w:t>
      </w:r>
      <w:r w:rsidRPr="00D5663B">
        <w:rPr>
          <w:i/>
        </w:rPr>
        <w:t>dw</w:t>
      </w:r>
      <w:r w:rsidRPr="00D5663B">
        <w:t>(</w:t>
      </w:r>
      <w:r w:rsidRPr="00D5663B">
        <w:rPr>
          <w:i/>
        </w:rPr>
        <w:t>l</w:t>
      </w:r>
      <w:r w:rsidRPr="00D5663B">
        <w:t>/2)/</w:t>
      </w:r>
      <w:r w:rsidRPr="00D5663B">
        <w:rPr>
          <w:i/>
        </w:rPr>
        <w:t>dx</w:t>
      </w:r>
      <w:r w:rsidRPr="00D5663B">
        <w:t xml:space="preserve">=0. Удовлетворяването на първoтo условие се осъщяствява чрез директно полагане на </w:t>
      </w:r>
      <w:r w:rsidRPr="00D5663B">
        <w:rPr>
          <w:i/>
        </w:rPr>
        <w:t>w</w:t>
      </w:r>
      <w:r w:rsidRPr="00D5663B">
        <w:rPr>
          <w:vertAlign w:val="subscript"/>
        </w:rPr>
        <w:t>1</w:t>
      </w:r>
      <w:r w:rsidRPr="00D5663B">
        <w:t xml:space="preserve">=0. От уравнение (11) и второто граничнo условиe, записанo във вида </w:t>
      </w:r>
      <w:r w:rsidRPr="00D5663B">
        <w:rPr>
          <w:i/>
        </w:rPr>
        <w:t>w</w:t>
      </w:r>
      <w:r w:rsidRPr="00D5663B">
        <w:rPr>
          <w:vertAlign w:val="superscript"/>
        </w:rPr>
        <w:t>(</w:t>
      </w:r>
      <w:r w:rsidRPr="00D5663B">
        <w:rPr>
          <w:i/>
          <w:vertAlign w:val="superscript"/>
        </w:rPr>
        <w:t>2</w:t>
      </w:r>
      <w:r w:rsidRPr="00D5663B">
        <w:rPr>
          <w:vertAlign w:val="superscript"/>
        </w:rPr>
        <w:t>)</w:t>
      </w:r>
      <w:r w:rsidRPr="00D5663B">
        <w:t>(</w:t>
      </w:r>
      <w:r w:rsidRPr="00D5663B">
        <w:rPr>
          <w:i/>
        </w:rPr>
        <w:t>x</w:t>
      </w:r>
      <w:r w:rsidRPr="00D5663B">
        <w:rPr>
          <w:vertAlign w:val="subscript"/>
        </w:rPr>
        <w:t>1</w:t>
      </w:r>
      <w:r w:rsidRPr="00D5663B">
        <w:t>)=</w:t>
      </w:r>
      <w:r w:rsidRPr="00D5663B">
        <w:rPr>
          <w:i/>
        </w:rPr>
        <w:t xml:space="preserve"> </w:t>
      </w:r>
      <w:r w:rsidRPr="00D5663B">
        <w:t>0, следва, че първото хомогеннo урав</w:t>
      </w:r>
      <w:r w:rsidR="00D45D08" w:rsidRPr="00304629">
        <w:softHyphen/>
      </w:r>
      <w:r w:rsidRPr="00D5663B">
        <w:t xml:space="preserve">нениe e изпълненo за всяко </w:t>
      </w:r>
      <w:r w:rsidRPr="00D5663B">
        <w:rPr>
          <w:i/>
        </w:rPr>
        <w:t>w</w:t>
      </w:r>
      <w:r w:rsidRPr="00D5663B">
        <w:rPr>
          <w:i/>
          <w:vertAlign w:val="subscript"/>
        </w:rPr>
        <w:t>i</w:t>
      </w:r>
      <w:r w:rsidRPr="00D5663B">
        <w:t xml:space="preserve"> и тo се премахва от системата. Последното гранично</w:t>
      </w:r>
      <w:r w:rsidRPr="00D5663B">
        <w:rPr>
          <w:color w:val="FF0000"/>
        </w:rPr>
        <w:t xml:space="preserve"> </w:t>
      </w:r>
      <w:r w:rsidRPr="00D5663B">
        <w:t>ус</w:t>
      </w:r>
      <w:r w:rsidR="00D45D08" w:rsidRPr="00304629">
        <w:softHyphen/>
      </w:r>
      <w:r w:rsidRPr="00D5663B">
        <w:t xml:space="preserve">ловие се използва във вида </w:t>
      </w:r>
      <w:r w:rsidRPr="00D5663B">
        <w:rPr>
          <w:i/>
        </w:rPr>
        <w:t>w</w:t>
      </w:r>
      <w:r w:rsidRPr="00D5663B">
        <w:rPr>
          <w:i/>
          <w:vertAlign w:val="subscript"/>
        </w:rPr>
        <w:t>N-</w:t>
      </w:r>
      <w:r w:rsidRPr="00D5663B">
        <w:rPr>
          <w:vertAlign w:val="subscript"/>
        </w:rPr>
        <w:t>1</w:t>
      </w:r>
      <w:r w:rsidRPr="00D5663B">
        <w:t>=</w:t>
      </w:r>
      <w:r w:rsidRPr="00D5663B">
        <w:rPr>
          <w:i/>
        </w:rPr>
        <w:t xml:space="preserve"> w</w:t>
      </w:r>
      <w:r w:rsidRPr="00D5663B">
        <w:rPr>
          <w:i/>
          <w:vertAlign w:val="subscript"/>
        </w:rPr>
        <w:t>N+</w:t>
      </w:r>
      <w:r w:rsidRPr="00D5663B">
        <w:rPr>
          <w:vertAlign w:val="subscript"/>
        </w:rPr>
        <w:t>1.</w:t>
      </w:r>
      <w:r w:rsidRPr="00D5663B">
        <w:t xml:space="preserve"> Получава се уравнение от (</w:t>
      </w:r>
      <w:r w:rsidRPr="00D5663B">
        <w:rPr>
          <w:i/>
        </w:rPr>
        <w:t>N-</w:t>
      </w:r>
      <w:r w:rsidRPr="00D5663B">
        <w:t>1)-ва степен спря</w:t>
      </w:r>
      <w:r w:rsidR="00D45D08" w:rsidRPr="00304629">
        <w:softHyphen/>
      </w:r>
      <w:r w:rsidRPr="00D5663B">
        <w:t xml:space="preserve">мо неизвестната величина </w:t>
      </w:r>
      <w:r w:rsidRPr="00D5663B">
        <w:rPr>
          <w:i/>
        </w:rPr>
        <w:sym w:font="Symbol" w:char="F062"/>
      </w:r>
      <w:r w:rsidRPr="00D5663B">
        <w:t xml:space="preserve">. </w:t>
      </w:r>
    </w:p>
    <w:p w:rsidR="009A7066" w:rsidRPr="00D5663B" w:rsidRDefault="009A7066" w:rsidP="00406A72">
      <w:r w:rsidRPr="00D5663B">
        <w:t xml:space="preserve">Отклонението </w:t>
      </w:r>
      <w:r w:rsidRPr="00D5663B">
        <w:sym w:font="Symbol" w:char="F044"/>
      </w:r>
      <w:r w:rsidRPr="00D5663B">
        <w:rPr>
          <w:i/>
        </w:rPr>
        <w:sym w:font="Symbol" w:char="F062"/>
      </w:r>
      <w:r w:rsidRPr="00D5663B">
        <w:t xml:space="preserve"> от </w:t>
      </w:r>
      <w:r w:rsidRPr="00D5663B">
        <w:rPr>
          <w:spacing w:val="-8"/>
        </w:rPr>
        <w:t xml:space="preserve">точната стойност на </w:t>
      </w:r>
      <w:r w:rsidRPr="00D5663B">
        <w:rPr>
          <w:i/>
          <w:spacing w:val="-8"/>
        </w:rPr>
        <w:sym w:font="Symbol" w:char="F062"/>
      </w:r>
      <w:r w:rsidRPr="00D5663B">
        <w:rPr>
          <w:i/>
          <w:spacing w:val="-8"/>
          <w:vertAlign w:val="subscript"/>
        </w:rPr>
        <w:t>Т</w:t>
      </w:r>
      <w:r w:rsidRPr="00D5663B">
        <w:rPr>
          <w:spacing w:val="-8"/>
        </w:rPr>
        <w:t>, дадена в [1],</w:t>
      </w:r>
      <w:r w:rsidRPr="00D5663B">
        <w:t xml:space="preserve"> за различни значения на </w:t>
      </w:r>
      <w:r w:rsidRPr="00D5663B">
        <w:rPr>
          <w:i/>
        </w:rPr>
        <w:t>b</w:t>
      </w:r>
      <w:r w:rsidRPr="00D5663B">
        <w:rPr>
          <w:vertAlign w:val="subscript"/>
        </w:rPr>
        <w:t>1</w:t>
      </w:r>
      <w:r w:rsidRPr="00D5663B">
        <w:rPr>
          <w:i/>
        </w:rPr>
        <w:t>/b</w:t>
      </w:r>
      <w:r w:rsidRPr="00D5663B">
        <w:rPr>
          <w:vertAlign w:val="subscript"/>
        </w:rPr>
        <w:t>2</w:t>
      </w:r>
      <w:r w:rsidRPr="00D5663B">
        <w:t xml:space="preserve"> и </w:t>
      </w:r>
      <w:r w:rsidRPr="00D5663B">
        <w:rPr>
          <w:i/>
        </w:rPr>
        <w:t>N</w:t>
      </w:r>
      <w:r w:rsidRPr="00D5663B">
        <w:t xml:space="preserve"> са дадени в табл. 1. Забелязва се, че дори и при малък брой възли (</w:t>
      </w:r>
      <w:r w:rsidRPr="00D5663B">
        <w:rPr>
          <w:i/>
        </w:rPr>
        <w:t>N</w:t>
      </w:r>
      <w:r w:rsidRPr="00D5663B">
        <w:t xml:space="preserve">=5), ДКМ дава резултати, близки до точните. </w:t>
      </w:r>
    </w:p>
    <w:p w:rsidR="009A7066" w:rsidRPr="00D5663B" w:rsidRDefault="009A7066" w:rsidP="00406A72">
      <w:r w:rsidRPr="00D5663B">
        <w:t>На фиг. 2 е представено изменението на отклонението в зависимост от отноше</w:t>
      </w:r>
      <w:r w:rsidR="00D45D08" w:rsidRPr="00304629">
        <w:softHyphen/>
      </w:r>
      <w:r w:rsidRPr="00D5663B">
        <w:t xml:space="preserve">нието на </w:t>
      </w:r>
      <w:r w:rsidRPr="00D5663B">
        <w:rPr>
          <w:i/>
        </w:rPr>
        <w:t>b</w:t>
      </w:r>
      <w:r w:rsidRPr="00D5663B">
        <w:rPr>
          <w:vertAlign w:val="subscript"/>
        </w:rPr>
        <w:t>1</w:t>
      </w:r>
      <w:r w:rsidRPr="00D5663B">
        <w:t>/</w:t>
      </w:r>
      <w:r w:rsidRPr="00D5663B">
        <w:rPr>
          <w:i/>
        </w:rPr>
        <w:t>b</w:t>
      </w:r>
      <w:r w:rsidRPr="00D5663B">
        <w:rPr>
          <w:vertAlign w:val="subscript"/>
        </w:rPr>
        <w:t>2</w:t>
      </w:r>
      <w:r w:rsidRPr="00D5663B">
        <w:t xml:space="preserve"> при ДКМ и метода на крайните разлики. Данните за последния са взети от [2]. Прави впечатление еднаквият вид на графиките на изменение на отклонението при двата метода. Диаграмите са почти паралелни, с изключение на кривата при </w:t>
      </w:r>
      <w:r w:rsidRPr="00D5663B">
        <w:rPr>
          <w:i/>
        </w:rPr>
        <w:t>N</w:t>
      </w:r>
      <w:r w:rsidRPr="00D5663B">
        <w:t xml:space="preserve">=5 и равномерно разпределение на възлите. Отклонението при ДКМ за </w:t>
      </w:r>
      <w:r w:rsidRPr="00D5663B">
        <w:rPr>
          <w:i/>
        </w:rPr>
        <w:t>b</w:t>
      </w:r>
      <w:r w:rsidRPr="00D5663B">
        <w:rPr>
          <w:vertAlign w:val="subscript"/>
        </w:rPr>
        <w:t>1</w:t>
      </w:r>
      <w:r w:rsidRPr="00D5663B">
        <w:t>/</w:t>
      </w:r>
      <w:r w:rsidRPr="00D5663B">
        <w:rPr>
          <w:i/>
        </w:rPr>
        <w:t>b</w:t>
      </w:r>
      <w:r w:rsidRPr="00D5663B">
        <w:rPr>
          <w:vertAlign w:val="subscript"/>
        </w:rPr>
        <w:t>2</w:t>
      </w:r>
      <w:r w:rsidRPr="00D5663B">
        <w:t>=1</w:t>
      </w:r>
      <w:r w:rsidRPr="00D5663B">
        <w:rPr>
          <w:vertAlign w:val="subscript"/>
        </w:rPr>
        <w:t xml:space="preserve"> </w:t>
      </w:r>
      <w:r w:rsidRPr="00D5663B">
        <w:t>клони към 0, докато при метода на крайните разлики то е значително. Отклоненията при метода на крайните разлики са винаги положителни, докато при ДКМ те са както положителни, така и отрицателни. При равномерно разпределение на възлите преобладават отрица</w:t>
      </w:r>
      <w:r w:rsidR="00D45D08" w:rsidRPr="00304629">
        <w:softHyphen/>
      </w:r>
      <w:r w:rsidRPr="00D5663B">
        <w:t>телните отклонения от точното решение.</w:t>
      </w:r>
    </w:p>
    <w:p w:rsidR="009A7066" w:rsidRPr="00D5663B" w:rsidRDefault="009A7066" w:rsidP="00F1468C"/>
    <w:p w:rsidR="009A7066" w:rsidRPr="00304629" w:rsidRDefault="009A7066" w:rsidP="00165875">
      <w:pPr>
        <w:pStyle w:val="Table-Title"/>
        <w:rPr>
          <w:lang w:val="bg-BG"/>
        </w:rPr>
      </w:pPr>
      <w:r w:rsidRPr="00304629">
        <w:rPr>
          <w:lang w:val="bg-BG"/>
        </w:rPr>
        <w:lastRenderedPageBreak/>
        <w:t xml:space="preserve">Таблица 1. Изменение на </w:t>
      </w:r>
      <w:r w:rsidRPr="00165875">
        <w:sym w:font="Symbol" w:char="F044"/>
      </w:r>
      <w:r w:rsidRPr="00165875">
        <w:sym w:font="Symbol" w:char="F062"/>
      </w:r>
      <w:r w:rsidRPr="00304629">
        <w:rPr>
          <w:lang w:val="bg-BG"/>
        </w:rPr>
        <w:t xml:space="preserve"> според </w:t>
      </w:r>
      <w:r w:rsidRPr="00165875">
        <w:rPr>
          <w:i/>
        </w:rPr>
        <w:t>b</w:t>
      </w:r>
      <w:r w:rsidRPr="00304629">
        <w:rPr>
          <w:vertAlign w:val="subscript"/>
          <w:lang w:val="bg-BG"/>
        </w:rPr>
        <w:t>1</w:t>
      </w:r>
      <w:r w:rsidRPr="00304629">
        <w:rPr>
          <w:lang w:val="bg-BG"/>
        </w:rPr>
        <w:t>/</w:t>
      </w:r>
      <w:r w:rsidRPr="00165875">
        <w:rPr>
          <w:i/>
        </w:rPr>
        <w:t>b</w:t>
      </w:r>
      <w:r w:rsidRPr="00304629">
        <w:rPr>
          <w:vertAlign w:val="subscript"/>
          <w:lang w:val="bg-BG"/>
        </w:rPr>
        <w:t>2</w:t>
      </w:r>
      <w:r w:rsidRPr="00304629">
        <w:rPr>
          <w:lang w:val="bg-BG"/>
        </w:rPr>
        <w:t xml:space="preserve"> и брой възли </w:t>
      </w:r>
      <w:r w:rsidRPr="00165875">
        <w:rPr>
          <w:i/>
        </w:rPr>
        <w:t>N</w:t>
      </w:r>
      <w:r w:rsidRPr="00304629">
        <w:rPr>
          <w:lang w:val="bg-BG"/>
        </w:rPr>
        <w:t xml:space="preserve"> за случай 1</w:t>
      </w:r>
    </w:p>
    <w:tbl>
      <w:tblPr>
        <w:tblW w:w="7484" w:type="dxa"/>
        <w:jc w:val="center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4"/>
        <w:gridCol w:w="2074"/>
        <w:gridCol w:w="566"/>
        <w:gridCol w:w="760"/>
        <w:gridCol w:w="760"/>
        <w:gridCol w:w="760"/>
        <w:gridCol w:w="760"/>
        <w:gridCol w:w="760"/>
        <w:gridCol w:w="760"/>
      </w:tblGrid>
      <w:tr w:rsidR="009A7066" w:rsidRPr="005A1A3A" w:rsidTr="005A1A3A">
        <w:trPr>
          <w:trHeight w:val="170"/>
          <w:jc w:val="center"/>
        </w:trPr>
        <w:tc>
          <w:tcPr>
            <w:tcW w:w="2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i/>
                <w:color w:val="000000"/>
              </w:rPr>
            </w:pPr>
            <w:r w:rsidRPr="005A1A3A">
              <w:rPr>
                <w:i/>
                <w:color w:val="000000"/>
              </w:rPr>
              <w:t>N</w:t>
            </w:r>
          </w:p>
        </w:tc>
        <w:tc>
          <w:tcPr>
            <w:tcW w:w="2074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Разпределение на възлите</w:t>
            </w:r>
          </w:p>
        </w:tc>
        <w:tc>
          <w:tcPr>
            <w:tcW w:w="56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i/>
                <w:iCs/>
                <w:color w:val="000000"/>
              </w:rPr>
              <w:t>b</w:t>
            </w:r>
            <w:r w:rsidRPr="005A1A3A">
              <w:rPr>
                <w:color w:val="000000"/>
                <w:vertAlign w:val="subscript"/>
              </w:rPr>
              <w:t>1</w:t>
            </w:r>
            <w:r w:rsidRPr="005A1A3A">
              <w:rPr>
                <w:color w:val="000000"/>
              </w:rPr>
              <w:t>/</w:t>
            </w:r>
            <w:r w:rsidRPr="005A1A3A">
              <w:rPr>
                <w:i/>
                <w:iCs/>
                <w:color w:val="000000"/>
              </w:rPr>
              <w:t>b</w:t>
            </w:r>
            <w:r w:rsidRPr="005A1A3A">
              <w:rPr>
                <w:color w:val="000000"/>
                <w:vertAlign w:val="subscript"/>
              </w:rPr>
              <w:t>2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0,1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0,2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0,4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0,6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0,8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1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74" w:type="dxa"/>
            <w:vMerge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56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/>
                <w:color w:val="000000"/>
              </w:rPr>
            </w:pPr>
            <w:r w:rsidRPr="005A1A3A">
              <w:rPr>
                <w:rFonts w:ascii="Symbol" w:hAnsi="Symbol"/>
                <w:b/>
                <w:i/>
                <w:iCs/>
                <w:color w:val="000000"/>
              </w:rPr>
              <w:t></w:t>
            </w:r>
            <w:r w:rsidRPr="005A1A3A">
              <w:rPr>
                <w:b/>
                <w:color w:val="000000"/>
                <w:vertAlign w:val="subscript"/>
              </w:rPr>
              <w:t>T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/>
                <w:color w:val="000000"/>
              </w:rPr>
            </w:pPr>
            <w:r w:rsidRPr="005A1A3A">
              <w:rPr>
                <w:b/>
                <w:color w:val="000000"/>
              </w:rPr>
              <w:t>64,80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/>
                <w:color w:val="000000"/>
              </w:rPr>
            </w:pPr>
            <w:r w:rsidRPr="005A1A3A">
              <w:rPr>
                <w:b/>
                <w:color w:val="000000"/>
              </w:rPr>
              <w:t>35,05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/>
                <w:color w:val="000000"/>
              </w:rPr>
            </w:pPr>
            <w:r w:rsidRPr="005A1A3A">
              <w:rPr>
                <w:b/>
                <w:color w:val="000000"/>
              </w:rPr>
              <w:t>19,67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/>
                <w:color w:val="000000"/>
              </w:rPr>
            </w:pPr>
            <w:r w:rsidRPr="005A1A3A">
              <w:rPr>
                <w:b/>
                <w:color w:val="000000"/>
              </w:rPr>
              <w:t>14,35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/>
                <w:color w:val="000000"/>
              </w:rPr>
            </w:pPr>
            <w:r w:rsidRPr="005A1A3A">
              <w:rPr>
                <w:b/>
                <w:color w:val="000000"/>
              </w:rPr>
              <w:t>11,61</w:t>
            </w:r>
          </w:p>
        </w:tc>
        <w:tc>
          <w:tcPr>
            <w:tcW w:w="7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/>
                <w:color w:val="000000"/>
              </w:rPr>
            </w:pPr>
            <w:r w:rsidRPr="005A1A3A">
              <w:rPr>
                <w:b/>
                <w:color w:val="000000"/>
              </w:rPr>
              <w:t>9,870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5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равномерно</w:t>
            </w:r>
          </w:p>
        </w:tc>
        <w:tc>
          <w:tcPr>
            <w:tcW w:w="566" w:type="dxa"/>
            <w:tcBorders>
              <w:top w:val="single" w:sz="12" w:space="0" w:color="auto"/>
              <w:left w:val="nil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</w:t>
            </w:r>
            <w:r w:rsidRPr="005A1A3A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-0,83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-0,66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-0,06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Чебишев-Гаус-Лобато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-0,46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-0,01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6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равномерно</w:t>
            </w:r>
          </w:p>
        </w:tc>
        <w:tc>
          <w:tcPr>
            <w:tcW w:w="566" w:type="dxa"/>
            <w:tcBorders>
              <w:top w:val="single" w:sz="12" w:space="0" w:color="auto"/>
              <w:left w:val="nil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</w:t>
            </w:r>
            <w:r w:rsidRPr="005A1A3A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-0,51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-0,58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-0,63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-0,38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0,00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Чебишев-Гаус-Лобато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-0,17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0,00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7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равномерно</w:t>
            </w:r>
          </w:p>
        </w:tc>
        <w:tc>
          <w:tcPr>
            <w:tcW w:w="566" w:type="dxa"/>
            <w:tcBorders>
              <w:top w:val="single" w:sz="12" w:space="0" w:color="auto"/>
              <w:left w:val="nil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</w:t>
            </w:r>
            <w:r w:rsidRPr="005A1A3A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-0,39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-0,45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0,00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Чебишев-Гаус-Лобато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0,25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0,00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8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равномерно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</w:t>
            </w:r>
            <w:r w:rsidRPr="005A1A3A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-0,36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-0,32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-0,34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-0,16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0,15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0,00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Чебишев-Гаус-Лобато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-0,12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0,00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9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равномерно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</w:t>
            </w:r>
            <w:r w:rsidRPr="005A1A3A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-0,28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-0,24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0,18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0,00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Чебишев-Гаус-Лобато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0,00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10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равномерно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</w:t>
            </w:r>
            <w:r w:rsidRPr="005A1A3A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-0,26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-0,19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-0,22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0,20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0,00</w:t>
            </w:r>
          </w:p>
        </w:tc>
      </w:tr>
      <w:tr w:rsidR="009A7066" w:rsidRPr="005A1A3A" w:rsidTr="005A1A3A">
        <w:trPr>
          <w:trHeight w:val="170"/>
          <w:jc w:val="center"/>
        </w:trPr>
        <w:tc>
          <w:tcPr>
            <w:tcW w:w="284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color w:val="000000"/>
              </w:rPr>
            </w:pPr>
            <w:r w:rsidRPr="005A1A3A">
              <w:rPr>
                <w:color w:val="000000"/>
              </w:rPr>
              <w:t>Чебишев-Гаус-Лобато</w:t>
            </w:r>
          </w:p>
        </w:tc>
        <w:tc>
          <w:tcPr>
            <w:tcW w:w="56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5A1A3A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0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-0,08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-0,04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0,27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5A1A3A" w:rsidRDefault="009A7066" w:rsidP="005A1A3A">
            <w:pPr>
              <w:ind w:firstLine="0"/>
              <w:jc w:val="center"/>
              <w:rPr>
                <w:bCs/>
                <w:color w:val="000000"/>
              </w:rPr>
            </w:pPr>
            <w:r w:rsidRPr="005A1A3A">
              <w:rPr>
                <w:bCs/>
                <w:color w:val="000000"/>
              </w:rPr>
              <w:t>0,00</w:t>
            </w:r>
          </w:p>
        </w:tc>
      </w:tr>
    </w:tbl>
    <w:p w:rsidR="001A107A" w:rsidRDefault="001A107A" w:rsidP="00F339B8">
      <w:pPr>
        <w:ind w:firstLine="0"/>
        <w:jc w:val="left"/>
        <w:rPr>
          <w:noProof/>
          <w:lang w:val="en-US"/>
        </w:rPr>
      </w:pPr>
    </w:p>
    <w:p w:rsidR="009A7066" w:rsidRPr="00D5663B" w:rsidRDefault="00A3144A" w:rsidP="00F339B8">
      <w:pPr>
        <w:ind w:firstLine="0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-3.75pt;margin-top:19.8pt;width:32.3pt;height:20.35pt;z-index:251664384" stroked="f">
            <v:textbox inset=".5mm,,.5mm">
              <w:txbxContent>
                <w:p w:rsidR="009A7066" w:rsidRPr="004A465B" w:rsidRDefault="009A7066" w:rsidP="00A03FC2">
                  <w:pPr>
                    <w:ind w:firstLine="0"/>
                    <w:jc w:val="right"/>
                  </w:pPr>
                  <w:r>
                    <w:sym w:font="Symbol" w:char="F044"/>
                  </w:r>
                  <w:r w:rsidRPr="004A465B">
                    <w:rPr>
                      <w:i/>
                    </w:rPr>
                    <w:sym w:font="Symbol" w:char="F062"/>
                  </w:r>
                  <w:r w:rsidRPr="004A465B">
                    <w:t>, %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180.5pt;margin-top:25.75pt;width:32.3pt;height:20.35pt;z-index:251663360" stroked="f">
            <v:textbox inset=".5mm,,.5mm">
              <w:txbxContent>
                <w:p w:rsidR="009A7066" w:rsidRPr="004A465B" w:rsidRDefault="009A7066" w:rsidP="00A03FC2">
                  <w:pPr>
                    <w:ind w:firstLine="0"/>
                    <w:jc w:val="right"/>
                  </w:pPr>
                  <w:r>
                    <w:sym w:font="Symbol" w:char="F044"/>
                  </w:r>
                  <w:r w:rsidRPr="004A465B">
                    <w:rPr>
                      <w:i/>
                    </w:rPr>
                    <w:sym w:font="Symbol" w:char="F062"/>
                  </w:r>
                  <w:r w:rsidRPr="004A465B">
                    <w:t>, %</w:t>
                  </w:r>
                </w:p>
              </w:txbxContent>
            </v:textbox>
          </v:shape>
        </w:pict>
      </w:r>
      <w:r>
        <w:rPr>
          <w:noProof/>
        </w:rPr>
        <w:pict>
          <v:shape id="Picture 32" o:spid="_x0000_s1026" type="#_x0000_t75" style="position:absolute;margin-left:188.1pt;margin-top:23.7pt;width:182pt;height:164.4pt;z-index:251659264;visibility:visible">
            <v:imagedata r:id="rId53" o:title="" cropbottom="6426f"/>
          </v:shape>
        </w:pict>
      </w:r>
      <w:r>
        <w:rPr>
          <w:noProof/>
        </w:rPr>
        <w:pict>
          <v:shape id="Picture 31" o:spid="_x0000_i1047" type="#_x0000_t75" style="width:340pt;height:187.5pt;visibility:visible">
            <v:imagedata r:id="rId54" o:title="" croptop="1536f" cropbottom="5169f"/>
          </v:shape>
        </w:pict>
      </w:r>
    </w:p>
    <w:p w:rsidR="009A7066" w:rsidRPr="00304629" w:rsidRDefault="009A7066" w:rsidP="001A107A">
      <w:pPr>
        <w:pStyle w:val="Fig"/>
        <w:rPr>
          <w:lang w:val="bg-BG"/>
        </w:rPr>
      </w:pPr>
      <w:r w:rsidRPr="00304629">
        <w:rPr>
          <w:lang w:val="bg-BG"/>
        </w:rPr>
        <w:t xml:space="preserve">Фиг. 2. Отклонение от точните стойности </w:t>
      </w:r>
      <w:r w:rsidRPr="001A107A">
        <w:sym w:font="Symbol" w:char="F044"/>
      </w:r>
      <w:r w:rsidRPr="001A107A">
        <w:sym w:font="Symbol" w:char="F062"/>
      </w:r>
      <w:r w:rsidRPr="00304629">
        <w:rPr>
          <w:lang w:val="bg-BG"/>
        </w:rPr>
        <w:t xml:space="preserve"> в % за случай 1</w:t>
      </w:r>
    </w:p>
    <w:p w:rsidR="009A7066" w:rsidRPr="001A107A" w:rsidRDefault="009A7066" w:rsidP="001A107A">
      <w:pPr>
        <w:pStyle w:val="Heading2"/>
      </w:pPr>
      <w:r w:rsidRPr="001A107A">
        <w:t>4.2. Случай 2</w:t>
      </w:r>
    </w:p>
    <w:p w:rsidR="009A7066" w:rsidRPr="00D5663B" w:rsidRDefault="009A7066" w:rsidP="00AA6732">
      <w:pPr>
        <w:rPr>
          <w:color w:val="000000"/>
        </w:rPr>
      </w:pPr>
      <w:r w:rsidRPr="00D5663B">
        <w:rPr>
          <w:color w:val="000000"/>
        </w:rPr>
        <w:t xml:space="preserve">За случай 2 стойностите на </w:t>
      </w:r>
      <w:r w:rsidRPr="00D5663B">
        <w:rPr>
          <w:i/>
          <w:color w:val="000000"/>
        </w:rPr>
        <w:t>a</w:t>
      </w:r>
      <w:r w:rsidRPr="00D5663B">
        <w:rPr>
          <w:color w:val="000000"/>
        </w:rPr>
        <w:t>(</w:t>
      </w:r>
      <w:r w:rsidRPr="00D5663B">
        <w:rPr>
          <w:i/>
          <w:color w:val="000000"/>
        </w:rPr>
        <w:t>x</w:t>
      </w:r>
      <w:r w:rsidRPr="00D5663B">
        <w:rPr>
          <w:i/>
          <w:color w:val="000000"/>
          <w:vertAlign w:val="subscript"/>
        </w:rPr>
        <w:t>i</w:t>
      </w:r>
      <w:r w:rsidRPr="00D5663B">
        <w:rPr>
          <w:color w:val="000000"/>
        </w:rPr>
        <w:t>)=</w:t>
      </w:r>
      <w:r w:rsidRPr="00D5663B">
        <w:rPr>
          <w:i/>
        </w:rPr>
        <w:t>a</w:t>
      </w:r>
      <w:r w:rsidRPr="00D5663B">
        <w:rPr>
          <w:i/>
          <w:vertAlign w:val="subscript"/>
        </w:rPr>
        <w:t>i</w:t>
      </w:r>
      <w:r w:rsidRPr="00D5663B">
        <w:rPr>
          <w:color w:val="000000"/>
        </w:rPr>
        <w:t xml:space="preserve"> във възел </w:t>
      </w:r>
      <w:r w:rsidRPr="00D5663B">
        <w:rPr>
          <w:i/>
          <w:color w:val="000000"/>
        </w:rPr>
        <w:t>x</w:t>
      </w:r>
      <w:r w:rsidRPr="00D5663B">
        <w:rPr>
          <w:i/>
          <w:color w:val="000000"/>
          <w:vertAlign w:val="subscript"/>
        </w:rPr>
        <w:t>i</w:t>
      </w:r>
      <w:r w:rsidRPr="00D5663B">
        <w:rPr>
          <w:color w:val="000000"/>
        </w:rPr>
        <w:t xml:space="preserve"> са:</w:t>
      </w:r>
    </w:p>
    <w:p w:rsidR="009A7066" w:rsidRPr="00304629" w:rsidRDefault="001A107A" w:rsidP="001A107A">
      <w:pPr>
        <w:pStyle w:val="Equation"/>
        <w:rPr>
          <w:color w:val="000000"/>
          <w:lang w:val="bg-BG"/>
        </w:rPr>
      </w:pPr>
      <w:r w:rsidRPr="001A107A">
        <w:rPr>
          <w:position w:val="-30"/>
        </w:rPr>
        <w:object w:dxaOrig="1939" w:dyaOrig="700">
          <v:shape id="_x0000_i1048" type="#_x0000_t75" style="width:97pt;height:34.5pt" o:ole="">
            <v:imagedata r:id="rId55" o:title=""/>
          </v:shape>
          <o:OLEObject Type="Embed" ProgID="Equation.DSMT4" ShapeID="_x0000_i1048" DrawAspect="Content" ObjectID="_1494406519" r:id="rId56"/>
        </w:object>
      </w:r>
      <w:r w:rsidRPr="00304629">
        <w:rPr>
          <w:color w:val="000000"/>
          <w:lang w:val="bg-BG"/>
        </w:rPr>
        <w:tab/>
      </w:r>
      <w:r w:rsidR="009A7066" w:rsidRPr="00304629">
        <w:rPr>
          <w:color w:val="000000"/>
          <w:lang w:val="bg-BG"/>
        </w:rPr>
        <w:t>(16)</w:t>
      </w:r>
    </w:p>
    <w:p w:rsidR="009A7066" w:rsidRPr="00D5663B" w:rsidRDefault="009A7066" w:rsidP="00AA6732">
      <w:r w:rsidRPr="00D5663B">
        <w:t>При ставно подпиране на колоната крайните сечения  нямат напречнo премест</w:t>
      </w:r>
      <w:r w:rsidR="001A107A" w:rsidRPr="00304629">
        <w:softHyphen/>
      </w:r>
      <w:r w:rsidRPr="00D5663B">
        <w:t xml:space="preserve">ванe </w:t>
      </w:r>
      <w:r w:rsidRPr="00D5663B">
        <w:rPr>
          <w:i/>
        </w:rPr>
        <w:t>w</w:t>
      </w:r>
      <w:r w:rsidRPr="00D5663B">
        <w:t>(0)=</w:t>
      </w:r>
      <w:r w:rsidRPr="00D5663B">
        <w:rPr>
          <w:i/>
        </w:rPr>
        <w:t>w</w:t>
      </w:r>
      <w:r w:rsidRPr="00D5663B">
        <w:t xml:space="preserve">(l)=0 и огъващият момент е равен на нула </w:t>
      </w:r>
      <w:r w:rsidRPr="00D5663B">
        <w:rPr>
          <w:i/>
        </w:rPr>
        <w:t>d</w:t>
      </w:r>
      <w:r w:rsidRPr="00D5663B">
        <w:rPr>
          <w:vertAlign w:val="superscript"/>
        </w:rPr>
        <w:t>2</w:t>
      </w:r>
      <w:r w:rsidRPr="00D5663B">
        <w:rPr>
          <w:i/>
        </w:rPr>
        <w:t>w</w:t>
      </w:r>
      <w:r w:rsidRPr="00D5663B">
        <w:t>(0)/</w:t>
      </w:r>
      <w:r w:rsidRPr="00D5663B">
        <w:rPr>
          <w:i/>
        </w:rPr>
        <w:t>dx</w:t>
      </w:r>
      <w:r w:rsidRPr="00D5663B">
        <w:rPr>
          <w:vertAlign w:val="superscript"/>
        </w:rPr>
        <w:t>2</w:t>
      </w:r>
      <w:r w:rsidRPr="00D5663B">
        <w:t>=</w:t>
      </w:r>
      <w:r w:rsidRPr="00D5663B">
        <w:rPr>
          <w:i/>
        </w:rPr>
        <w:t>d</w:t>
      </w:r>
      <w:r w:rsidRPr="00D5663B">
        <w:rPr>
          <w:vertAlign w:val="superscript"/>
        </w:rPr>
        <w:t>2</w:t>
      </w:r>
      <w:r w:rsidRPr="00D5663B">
        <w:rPr>
          <w:i/>
        </w:rPr>
        <w:t>w</w:t>
      </w:r>
      <w:r w:rsidRPr="00D5663B">
        <w:t>(</w:t>
      </w:r>
      <w:r w:rsidRPr="00D5663B">
        <w:rPr>
          <w:i/>
        </w:rPr>
        <w:t>l</w:t>
      </w:r>
      <w:r w:rsidRPr="00D5663B">
        <w:t>)/</w:t>
      </w:r>
      <w:r w:rsidRPr="00D5663B">
        <w:rPr>
          <w:i/>
        </w:rPr>
        <w:t>dx</w:t>
      </w:r>
      <w:r w:rsidRPr="00D5663B">
        <w:rPr>
          <w:vertAlign w:val="superscript"/>
        </w:rPr>
        <w:t>2</w:t>
      </w:r>
      <w:r w:rsidRPr="00D5663B">
        <w:t xml:space="preserve">=0. Първите условия се удовлетворяват чрез директно полагане на </w:t>
      </w:r>
      <w:r w:rsidRPr="00D5663B">
        <w:rPr>
          <w:i/>
        </w:rPr>
        <w:t>w</w:t>
      </w:r>
      <w:r w:rsidRPr="00D5663B">
        <w:rPr>
          <w:vertAlign w:val="subscript"/>
        </w:rPr>
        <w:t>1</w:t>
      </w:r>
      <w:r w:rsidRPr="00D5663B">
        <w:t xml:space="preserve">=0 и </w:t>
      </w:r>
      <w:r w:rsidRPr="00D5663B">
        <w:rPr>
          <w:i/>
        </w:rPr>
        <w:t>w</w:t>
      </w:r>
      <w:r w:rsidRPr="00D5663B">
        <w:rPr>
          <w:i/>
          <w:vertAlign w:val="subscript"/>
        </w:rPr>
        <w:t xml:space="preserve">N </w:t>
      </w:r>
      <w:r w:rsidRPr="00D5663B">
        <w:t>=0. От (11) и гранич</w:t>
      </w:r>
      <w:r w:rsidR="001A107A" w:rsidRPr="00304629">
        <w:softHyphen/>
      </w:r>
      <w:r w:rsidRPr="00D5663B">
        <w:t xml:space="preserve">ните условия, записани във вида </w:t>
      </w:r>
      <w:r w:rsidRPr="00D5663B">
        <w:rPr>
          <w:i/>
        </w:rPr>
        <w:t>w</w:t>
      </w:r>
      <w:r w:rsidRPr="00D5663B">
        <w:rPr>
          <w:vertAlign w:val="superscript"/>
        </w:rPr>
        <w:t>(</w:t>
      </w:r>
      <w:r w:rsidRPr="00D5663B">
        <w:rPr>
          <w:i/>
          <w:vertAlign w:val="superscript"/>
        </w:rPr>
        <w:t>2</w:t>
      </w:r>
      <w:r w:rsidRPr="00D5663B">
        <w:rPr>
          <w:vertAlign w:val="superscript"/>
        </w:rPr>
        <w:t>)</w:t>
      </w:r>
      <w:r w:rsidRPr="00D5663B">
        <w:t>(</w:t>
      </w:r>
      <w:r w:rsidRPr="00D5663B">
        <w:rPr>
          <w:i/>
        </w:rPr>
        <w:t>x</w:t>
      </w:r>
      <w:r w:rsidRPr="00D5663B">
        <w:rPr>
          <w:vertAlign w:val="subscript"/>
        </w:rPr>
        <w:t>1</w:t>
      </w:r>
      <w:r w:rsidRPr="00D5663B">
        <w:t>)=</w:t>
      </w:r>
      <w:r w:rsidRPr="00D5663B">
        <w:rPr>
          <w:i/>
        </w:rPr>
        <w:t xml:space="preserve"> w</w:t>
      </w:r>
      <w:r w:rsidRPr="00D5663B">
        <w:rPr>
          <w:vertAlign w:val="superscript"/>
        </w:rPr>
        <w:t>(</w:t>
      </w:r>
      <w:r w:rsidRPr="00D5663B">
        <w:rPr>
          <w:i/>
          <w:vertAlign w:val="superscript"/>
        </w:rPr>
        <w:t>2</w:t>
      </w:r>
      <w:r w:rsidRPr="00D5663B">
        <w:rPr>
          <w:vertAlign w:val="superscript"/>
        </w:rPr>
        <w:t>)</w:t>
      </w:r>
      <w:r w:rsidRPr="00D5663B">
        <w:t>(</w:t>
      </w:r>
      <w:r w:rsidRPr="00D5663B">
        <w:rPr>
          <w:i/>
        </w:rPr>
        <w:t>x</w:t>
      </w:r>
      <w:r w:rsidRPr="00D5663B">
        <w:rPr>
          <w:i/>
          <w:vertAlign w:val="subscript"/>
        </w:rPr>
        <w:t>N</w:t>
      </w:r>
      <w:r w:rsidRPr="00D5663B">
        <w:t xml:space="preserve">)=0, следва, че първото и последното уравнение в системата са изпълнени за всяко </w:t>
      </w:r>
      <w:r w:rsidRPr="00D5663B">
        <w:rPr>
          <w:i/>
        </w:rPr>
        <w:t>w</w:t>
      </w:r>
      <w:r w:rsidRPr="00D5663B">
        <w:rPr>
          <w:i/>
          <w:vertAlign w:val="subscript"/>
        </w:rPr>
        <w:t>i</w:t>
      </w:r>
      <w:r w:rsidRPr="00D5663B">
        <w:t xml:space="preserve"> и трябва да се премахнат.</w:t>
      </w:r>
    </w:p>
    <w:p w:rsidR="009A7066" w:rsidRPr="00D5663B" w:rsidRDefault="009A7066" w:rsidP="001A107A">
      <w:pPr>
        <w:pStyle w:val="Table-Title"/>
        <w:spacing w:before="240"/>
        <w:rPr>
          <w:lang w:val="bg-BG"/>
        </w:rPr>
      </w:pPr>
      <w:r w:rsidRPr="00D5663B">
        <w:rPr>
          <w:lang w:val="bg-BG"/>
        </w:rPr>
        <w:lastRenderedPageBreak/>
        <w:t xml:space="preserve">Таблица 2. Изменение на </w:t>
      </w:r>
      <w:r w:rsidRPr="00D5663B">
        <w:rPr>
          <w:lang w:val="bg-BG"/>
        </w:rPr>
        <w:sym w:font="Symbol" w:char="F044"/>
      </w:r>
      <w:r w:rsidRPr="00D5663B">
        <w:rPr>
          <w:i/>
          <w:lang w:val="bg-BG"/>
        </w:rPr>
        <w:sym w:font="Symbol" w:char="F062"/>
      </w:r>
      <w:r w:rsidRPr="00D5663B">
        <w:rPr>
          <w:lang w:val="bg-BG"/>
        </w:rPr>
        <w:t xml:space="preserve"> според </w:t>
      </w:r>
      <w:r w:rsidRPr="00D5663B">
        <w:rPr>
          <w:i/>
          <w:lang w:val="bg-BG"/>
        </w:rPr>
        <w:t>b</w:t>
      </w:r>
      <w:r w:rsidRPr="00D5663B">
        <w:rPr>
          <w:vertAlign w:val="subscript"/>
          <w:lang w:val="bg-BG"/>
        </w:rPr>
        <w:t>2</w:t>
      </w:r>
      <w:r w:rsidRPr="00D5663B">
        <w:rPr>
          <w:i/>
          <w:lang w:val="bg-BG"/>
        </w:rPr>
        <w:t>/b</w:t>
      </w:r>
      <w:r w:rsidRPr="00D5663B">
        <w:rPr>
          <w:vertAlign w:val="subscript"/>
          <w:lang w:val="bg-BG"/>
        </w:rPr>
        <w:t>1</w:t>
      </w:r>
      <w:r w:rsidRPr="00D5663B">
        <w:rPr>
          <w:lang w:val="bg-BG"/>
        </w:rPr>
        <w:t xml:space="preserve"> и брой възли </w:t>
      </w:r>
      <w:r w:rsidRPr="00D5663B">
        <w:rPr>
          <w:i/>
          <w:lang w:val="bg-BG"/>
        </w:rPr>
        <w:t>N</w:t>
      </w:r>
      <w:r w:rsidRPr="00D5663B">
        <w:rPr>
          <w:lang w:val="bg-BG"/>
        </w:rPr>
        <w:t xml:space="preserve"> за случай 2</w:t>
      </w:r>
    </w:p>
    <w:tbl>
      <w:tblPr>
        <w:tblW w:w="7484" w:type="dxa"/>
        <w:jc w:val="center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84"/>
        <w:gridCol w:w="2051"/>
        <w:gridCol w:w="646"/>
        <w:gridCol w:w="768"/>
        <w:gridCol w:w="768"/>
        <w:gridCol w:w="768"/>
        <w:gridCol w:w="768"/>
        <w:gridCol w:w="768"/>
        <w:gridCol w:w="663"/>
      </w:tblGrid>
      <w:tr w:rsidR="009A7066" w:rsidRPr="00667E42" w:rsidTr="00667E42">
        <w:trPr>
          <w:trHeight w:val="170"/>
          <w:jc w:val="center"/>
        </w:trPr>
        <w:tc>
          <w:tcPr>
            <w:tcW w:w="28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i/>
                <w:color w:val="000000"/>
              </w:rPr>
            </w:pPr>
            <w:r w:rsidRPr="00667E42">
              <w:rPr>
                <w:i/>
                <w:color w:val="000000"/>
              </w:rPr>
              <w:t>N</w:t>
            </w:r>
          </w:p>
        </w:tc>
        <w:tc>
          <w:tcPr>
            <w:tcW w:w="2051" w:type="dxa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Разпределение на възлите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i/>
                <w:iCs/>
                <w:color w:val="000000"/>
              </w:rPr>
              <w:t>b</w:t>
            </w:r>
            <w:r w:rsidRPr="00667E42">
              <w:rPr>
                <w:color w:val="000000"/>
                <w:vertAlign w:val="subscript"/>
              </w:rPr>
              <w:t>2</w:t>
            </w:r>
            <w:r w:rsidRPr="00667E42">
              <w:rPr>
                <w:color w:val="000000"/>
              </w:rPr>
              <w:t>/</w:t>
            </w:r>
            <w:r w:rsidRPr="00667E42">
              <w:rPr>
                <w:i/>
                <w:iCs/>
                <w:color w:val="000000"/>
              </w:rPr>
              <w:t>b</w:t>
            </w:r>
            <w:r w:rsidRPr="00667E42">
              <w:rPr>
                <w:color w:val="000000"/>
                <w:vertAlign w:val="subscript"/>
              </w:rPr>
              <w:t>1</w:t>
            </w: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0,1</w:t>
            </w:r>
          </w:p>
        </w:tc>
        <w:tc>
          <w:tcPr>
            <w:tcW w:w="76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0,2</w:t>
            </w:r>
          </w:p>
        </w:tc>
        <w:tc>
          <w:tcPr>
            <w:tcW w:w="76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0,4</w:t>
            </w:r>
          </w:p>
        </w:tc>
        <w:tc>
          <w:tcPr>
            <w:tcW w:w="76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0,6</w:t>
            </w:r>
          </w:p>
        </w:tc>
        <w:tc>
          <w:tcPr>
            <w:tcW w:w="76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0,8</w:t>
            </w:r>
          </w:p>
        </w:tc>
        <w:tc>
          <w:tcPr>
            <w:tcW w:w="66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1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vMerge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51" w:type="dxa"/>
            <w:vMerge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64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b/>
                <w:color w:val="000000"/>
              </w:rPr>
            </w:pPr>
            <w:r w:rsidRPr="00667E42">
              <w:rPr>
                <w:rFonts w:ascii="Symbol" w:hAnsi="Symbol"/>
                <w:b/>
                <w:i/>
                <w:iCs/>
                <w:color w:val="000000"/>
              </w:rPr>
              <w:t></w:t>
            </w:r>
            <w:r w:rsidRPr="00667E42">
              <w:rPr>
                <w:b/>
                <w:color w:val="000000"/>
                <w:vertAlign w:val="subscript"/>
              </w:rPr>
              <w:t>T</w:t>
            </w:r>
          </w:p>
        </w:tc>
        <w:tc>
          <w:tcPr>
            <w:tcW w:w="7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</w:rPr>
            </w:pPr>
            <w:r w:rsidRPr="00667E42">
              <w:rPr>
                <w:b/>
                <w:color w:val="000000"/>
              </w:rPr>
              <w:t>4,67</w:t>
            </w:r>
          </w:p>
        </w:tc>
        <w:tc>
          <w:tcPr>
            <w:tcW w:w="76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</w:rPr>
            </w:pPr>
            <w:r w:rsidRPr="00667E42">
              <w:rPr>
                <w:b/>
                <w:color w:val="000000"/>
              </w:rPr>
              <w:t>5,41</w:t>
            </w:r>
          </w:p>
        </w:tc>
        <w:tc>
          <w:tcPr>
            <w:tcW w:w="76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</w:rPr>
            </w:pPr>
            <w:r w:rsidRPr="00667E42">
              <w:rPr>
                <w:b/>
                <w:color w:val="000000"/>
              </w:rPr>
              <w:t>6,78</w:t>
            </w:r>
          </w:p>
        </w:tc>
        <w:tc>
          <w:tcPr>
            <w:tcW w:w="76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</w:rPr>
            </w:pPr>
            <w:r w:rsidRPr="00667E42">
              <w:rPr>
                <w:b/>
                <w:color w:val="000000"/>
              </w:rPr>
              <w:t>7,78</w:t>
            </w:r>
          </w:p>
        </w:tc>
        <w:tc>
          <w:tcPr>
            <w:tcW w:w="768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</w:rPr>
            </w:pPr>
            <w:r w:rsidRPr="00667E42">
              <w:rPr>
                <w:b/>
                <w:color w:val="000000"/>
              </w:rPr>
              <w:t>8,85</w:t>
            </w:r>
          </w:p>
        </w:tc>
        <w:tc>
          <w:tcPr>
            <w:tcW w:w="66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/>
                <w:color w:val="000000"/>
              </w:rPr>
            </w:pPr>
            <w:r w:rsidRPr="00667E42">
              <w:rPr>
                <w:b/>
                <w:color w:val="000000"/>
              </w:rPr>
              <w:t>9,87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5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равномерно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</w:t>
            </w:r>
            <w:r w:rsidRPr="00667E42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3,30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2,40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2,07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-0,81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-1,04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-0,99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Чебишев-Гаус-Лобато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-0,39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-0,74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1,26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0,26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0,47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6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равномерно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</w:t>
            </w:r>
            <w:r w:rsidRPr="00667E42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1,94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1,10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1,60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-0,69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-0,64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-0,52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Чебишев-Гаус-Лобато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-0,15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1,50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-0,34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-0,13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0,03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7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равномерно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</w:t>
            </w:r>
            <w:r w:rsidRPr="00667E42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0,78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0,18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1,46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-0,38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0,03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Чебишев-Гаус-Лобато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-0,03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1,50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-0,37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0,00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8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равномерно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</w:t>
            </w:r>
            <w:r w:rsidRPr="00667E42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0,51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1,47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-0,37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-0,14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0,02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Чебишев-Гаус-Лобато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0,04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-0,02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1,49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-0,37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0,00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9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равномерно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</w:t>
            </w:r>
            <w:r w:rsidRPr="00667E42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0,26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1,49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-0,37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0,00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Чебишев-Гаус-Лобато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0,06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-0,02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1,49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-0,37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0,00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10</w:t>
            </w: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равномерно</w:t>
            </w:r>
          </w:p>
        </w:tc>
        <w:tc>
          <w:tcPr>
            <w:tcW w:w="646" w:type="dxa"/>
            <w:tcBorders>
              <w:top w:val="single" w:sz="12" w:space="0" w:color="auto"/>
              <w:left w:val="nil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</w:t>
            </w:r>
            <w:r w:rsidRPr="00667E42">
              <w:rPr>
                <w:rFonts w:ascii="Symbol" w:hAnsi="Symbol"/>
                <w:i/>
                <w:iCs/>
                <w:color w:val="000000"/>
              </w:rPr>
              <w:t>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0,20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0,00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1,49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-0,37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0,00</w:t>
            </w:r>
          </w:p>
        </w:tc>
      </w:tr>
      <w:tr w:rsidR="009A7066" w:rsidRPr="00667E42" w:rsidTr="00667E42">
        <w:trPr>
          <w:trHeight w:val="170"/>
          <w:jc w:val="center"/>
        </w:trPr>
        <w:tc>
          <w:tcPr>
            <w:tcW w:w="284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2051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color w:val="000000"/>
              </w:rPr>
            </w:pPr>
            <w:r w:rsidRPr="00667E42">
              <w:rPr>
                <w:color w:val="000000"/>
              </w:rPr>
              <w:t>Чебишев-Гаус-Лобато</w:t>
            </w:r>
          </w:p>
        </w:tc>
        <w:tc>
          <w:tcPr>
            <w:tcW w:w="64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ind w:firstLine="0"/>
              <w:jc w:val="center"/>
              <w:rPr>
                <w:rFonts w:ascii="Symbol" w:hAnsi="Symbol"/>
                <w:color w:val="000000"/>
              </w:rPr>
            </w:pPr>
            <w:r w:rsidRPr="00667E42">
              <w:rPr>
                <w:rFonts w:ascii="Symbol" w:hAnsi="Symbol"/>
                <w:color w:val="000000"/>
              </w:rPr>
              <w:t></w:t>
            </w:r>
          </w:p>
        </w:tc>
        <w:tc>
          <w:tcPr>
            <w:tcW w:w="768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-0,02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1,49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-0,37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-0,15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A7066" w:rsidRPr="00667E42" w:rsidRDefault="009A7066" w:rsidP="00DA67D4">
            <w:pPr>
              <w:autoSpaceDE w:val="0"/>
              <w:autoSpaceDN w:val="0"/>
              <w:adjustRightInd w:val="0"/>
              <w:ind w:firstLine="0"/>
              <w:jc w:val="center"/>
              <w:rPr>
                <w:bCs/>
                <w:color w:val="000000"/>
              </w:rPr>
            </w:pPr>
            <w:r w:rsidRPr="00667E42">
              <w:rPr>
                <w:bCs/>
                <w:color w:val="000000"/>
              </w:rPr>
              <w:t>0,00</w:t>
            </w:r>
          </w:p>
        </w:tc>
      </w:tr>
    </w:tbl>
    <w:p w:rsidR="009A7066" w:rsidRPr="00D5663B" w:rsidRDefault="009A7066" w:rsidP="001A107A">
      <w:pPr>
        <w:spacing w:before="240"/>
      </w:pPr>
      <w:r w:rsidRPr="00D5663B">
        <w:t xml:space="preserve">От табл. 2 се вижда, че отклоненията от точното решение при този случай са по-големи спрямо тези при случай 1. За различни </w:t>
      </w:r>
      <w:r w:rsidRPr="00D5663B">
        <w:rPr>
          <w:i/>
        </w:rPr>
        <w:t>b</w:t>
      </w:r>
      <w:r w:rsidRPr="00D5663B">
        <w:rPr>
          <w:vertAlign w:val="subscript"/>
        </w:rPr>
        <w:t>2</w:t>
      </w:r>
      <w:r w:rsidRPr="00D5663B">
        <w:t>/</w:t>
      </w:r>
      <w:r w:rsidRPr="00D5663B">
        <w:rPr>
          <w:i/>
        </w:rPr>
        <w:t>b</w:t>
      </w:r>
      <w:r w:rsidRPr="00D5663B">
        <w:rPr>
          <w:vertAlign w:val="subscript"/>
        </w:rPr>
        <w:t>1</w:t>
      </w:r>
      <w:r w:rsidRPr="00D5663B">
        <w:t xml:space="preserve"> отклоненията клонят към кон</w:t>
      </w:r>
      <w:r w:rsidR="00F918F9" w:rsidRPr="00304629">
        <w:softHyphen/>
      </w:r>
      <w:r w:rsidRPr="00D5663B">
        <w:t>кретна стойност, различна от нула. Тя не се променя дори и при увеличаване на броя на възлите.</w:t>
      </w:r>
    </w:p>
    <w:p w:rsidR="009A7066" w:rsidRPr="00667E42" w:rsidRDefault="009A7066" w:rsidP="00BA750D">
      <w:pPr>
        <w:ind w:firstLine="0"/>
      </w:pPr>
    </w:p>
    <w:p w:rsidR="009A7066" w:rsidRPr="00D5663B" w:rsidRDefault="00A3144A" w:rsidP="00BA750D">
      <w:pPr>
        <w:ind w:firstLine="0"/>
      </w:pPr>
      <w:r>
        <w:rPr>
          <w:noProof/>
        </w:rPr>
        <w:pict>
          <v:shape id="_x0000_s1029" type="#_x0000_t202" style="position:absolute;left:0;text-align:left;margin-left:177.5pt;margin-top:17.35pt;width:32.3pt;height:20.35pt;z-index:251662336" stroked="f">
            <v:textbox inset=".5mm,,.5mm">
              <w:txbxContent>
                <w:p w:rsidR="009A7066" w:rsidRPr="004A465B" w:rsidRDefault="009A7066" w:rsidP="004A465B">
                  <w:pPr>
                    <w:ind w:firstLine="0"/>
                    <w:jc w:val="right"/>
                  </w:pPr>
                  <w:r>
                    <w:sym w:font="Symbol" w:char="F044"/>
                  </w:r>
                  <w:r w:rsidRPr="004A465B">
                    <w:rPr>
                      <w:i/>
                    </w:rPr>
                    <w:sym w:font="Symbol" w:char="F062"/>
                  </w:r>
                  <w:r w:rsidRPr="004A465B">
                    <w:t>, %</w:t>
                  </w:r>
                </w:p>
              </w:txbxContent>
            </v:textbox>
          </v:shape>
        </w:pict>
      </w:r>
      <w:r>
        <w:rPr>
          <w:noProof/>
        </w:rPr>
        <w:pict>
          <v:shape id="Picture 48" o:spid="_x0000_s1027" type="#_x0000_t75" style="position:absolute;left:0;text-align:left;margin-left:185pt;margin-top:14.1pt;width:182.8pt;height:164.4pt;z-index:251660288;visibility:visible">
            <v:imagedata r:id="rId57" o:title="" cropbottom="6799f"/>
          </v:shape>
        </w:pict>
      </w:r>
      <w:r>
        <w:rPr>
          <w:noProof/>
        </w:rPr>
        <w:pict>
          <v:shape id="_x0000_s1028" type="#_x0000_t202" style="position:absolute;left:0;text-align:left;margin-left:-3.8pt;margin-top:12.4pt;width:32.3pt;height:20.35pt;z-index:251661312" stroked="f">
            <v:textbox inset=".5mm,,.5mm">
              <w:txbxContent>
                <w:p w:rsidR="009A7066" w:rsidRPr="004A465B" w:rsidRDefault="009A7066" w:rsidP="004A465B">
                  <w:pPr>
                    <w:ind w:firstLine="0"/>
                    <w:jc w:val="right"/>
                  </w:pPr>
                  <w:r>
                    <w:sym w:font="Symbol" w:char="F044"/>
                  </w:r>
                  <w:r w:rsidRPr="004A465B">
                    <w:rPr>
                      <w:i/>
                    </w:rPr>
                    <w:sym w:font="Symbol" w:char="F062"/>
                  </w:r>
                  <w:r w:rsidRPr="004A465B">
                    <w:t>, %</w:t>
                  </w:r>
                </w:p>
              </w:txbxContent>
            </v:textbox>
          </v:shape>
        </w:pict>
      </w:r>
      <w:r>
        <w:rPr>
          <w:noProof/>
        </w:rPr>
        <w:pict>
          <v:shape id="Picture 47" o:spid="_x0000_i1049" type="#_x0000_t75" style="width:345pt;height:187.5pt;visibility:visible">
            <v:imagedata r:id="rId58" o:title="" croptop="1655f" cropbottom="5159f"/>
          </v:shape>
        </w:pict>
      </w:r>
    </w:p>
    <w:p w:rsidR="009A7066" w:rsidRPr="00304629" w:rsidRDefault="009A7066" w:rsidP="00F918F9">
      <w:pPr>
        <w:pStyle w:val="Fig"/>
        <w:rPr>
          <w:lang w:val="bg-BG"/>
        </w:rPr>
      </w:pPr>
      <w:r w:rsidRPr="00304629">
        <w:rPr>
          <w:lang w:val="bg-BG"/>
        </w:rPr>
        <w:t xml:space="preserve">Фиг. 3. Отклонение от точните стойности </w:t>
      </w:r>
      <w:r w:rsidRPr="00F918F9">
        <w:sym w:font="Symbol" w:char="F044"/>
      </w:r>
      <w:r w:rsidRPr="00F918F9">
        <w:sym w:font="Symbol" w:char="F062"/>
      </w:r>
      <w:r w:rsidRPr="00304629">
        <w:rPr>
          <w:lang w:val="bg-BG"/>
        </w:rPr>
        <w:t xml:space="preserve"> в % за случай 2</w:t>
      </w:r>
    </w:p>
    <w:p w:rsidR="009A7066" w:rsidRPr="00D5663B" w:rsidRDefault="009A7066" w:rsidP="00667E42">
      <w:pPr>
        <w:spacing w:before="240"/>
      </w:pPr>
      <w:r w:rsidRPr="00D5663B">
        <w:t xml:space="preserve">На фиг. 3, както и при случай 1, се забелязват паралелно отместени графики на отклонението при двата метода. Отново диаграмата на отклоненията при </w:t>
      </w:r>
      <w:r w:rsidRPr="00D5663B">
        <w:rPr>
          <w:i/>
        </w:rPr>
        <w:t>N</w:t>
      </w:r>
      <w:r w:rsidRPr="00D5663B">
        <w:t>=5 за равно</w:t>
      </w:r>
      <w:r w:rsidR="00F918F9" w:rsidRPr="00304629">
        <w:softHyphen/>
      </w:r>
      <w:r w:rsidRPr="00D5663B">
        <w:t xml:space="preserve">мерно разпределение на възлите се различава от останалите. При </w:t>
      </w:r>
      <w:r w:rsidRPr="00D5663B">
        <w:rPr>
          <w:i/>
        </w:rPr>
        <w:t>N</w:t>
      </w:r>
      <w:r w:rsidRPr="00D5663B">
        <w:t xml:space="preserve">=10 отклоненията, получени чрез ДКМ при равномерно разпределение на възлите и възлите на Чебишев-Гаус-Лобато, съвпадат при повечето стойности на </w:t>
      </w:r>
      <w:r w:rsidRPr="00D5663B">
        <w:rPr>
          <w:i/>
          <w:iCs/>
        </w:rPr>
        <w:t>b</w:t>
      </w:r>
      <w:r w:rsidRPr="00D5663B">
        <w:rPr>
          <w:vertAlign w:val="subscript"/>
        </w:rPr>
        <w:t>2</w:t>
      </w:r>
      <w:r w:rsidRPr="00D5663B">
        <w:t>/</w:t>
      </w:r>
      <w:r w:rsidRPr="00D5663B">
        <w:rPr>
          <w:i/>
          <w:iCs/>
        </w:rPr>
        <w:t>b</w:t>
      </w:r>
      <w:r w:rsidRPr="00D5663B">
        <w:rPr>
          <w:vertAlign w:val="subscript"/>
        </w:rPr>
        <w:t>1</w:t>
      </w:r>
      <w:r w:rsidRPr="00D5663B">
        <w:t xml:space="preserve">. </w:t>
      </w:r>
    </w:p>
    <w:p w:rsidR="009A7066" w:rsidRPr="00D5663B" w:rsidRDefault="009A7066" w:rsidP="00F918F9">
      <w:pPr>
        <w:pStyle w:val="Heading1"/>
        <w:spacing w:after="120"/>
      </w:pPr>
      <w:r w:rsidRPr="00D5663B">
        <w:lastRenderedPageBreak/>
        <w:t>5. Изводи</w:t>
      </w:r>
    </w:p>
    <w:p w:rsidR="009A7066" w:rsidRPr="00304629" w:rsidRDefault="009A7066" w:rsidP="00A51AF1">
      <w:r w:rsidRPr="00D5663B">
        <w:t xml:space="preserve">Разгледаният подход има много бърза сходимост на решенето. Максималното отклонение от точното решение се получава по-малко от 1% за първата схема и 2,5% </w:t>
      </w:r>
      <w:r w:rsidR="00F918F9" w:rsidRPr="00304629">
        <w:t>–</w:t>
      </w:r>
      <w:r w:rsidRPr="00D5663B">
        <w:t xml:space="preserve"> за втората, даже при разделяне на колoната на 4 части (</w:t>
      </w:r>
      <w:r w:rsidRPr="00D5663B">
        <w:rPr>
          <w:i/>
        </w:rPr>
        <w:t>N</w:t>
      </w:r>
      <w:r w:rsidRPr="00D5663B">
        <w:t>=5). Отклоненията от точното решение са, както положителни, така и отрицателни. По-близки резултати до точните се получават при възлите на Чебишев-Гаус-Лобато, отколкото при</w:t>
      </w:r>
      <w:r w:rsidR="00F918F9">
        <w:t xml:space="preserve"> равномерното им разпределение.</w:t>
      </w:r>
    </w:p>
    <w:p w:rsidR="009A7066" w:rsidRPr="00D5663B" w:rsidRDefault="009A7066" w:rsidP="00F918F9">
      <w:pPr>
        <w:pStyle w:val="Literature"/>
        <w:spacing w:before="240" w:after="180"/>
        <w:rPr>
          <w:lang w:val="bg-BG"/>
        </w:rPr>
      </w:pPr>
      <w:r w:rsidRPr="00D5663B">
        <w:rPr>
          <w:lang w:val="bg-BG"/>
        </w:rPr>
        <w:t>Литература</w:t>
      </w:r>
    </w:p>
    <w:p w:rsidR="009A7066" w:rsidRPr="00763F2C" w:rsidRDefault="009A7066" w:rsidP="00F918F9">
      <w:pPr>
        <w:numPr>
          <w:ilvl w:val="0"/>
          <w:numId w:val="3"/>
        </w:numPr>
        <w:tabs>
          <w:tab w:val="left" w:pos="284"/>
        </w:tabs>
        <w:ind w:left="0" w:firstLine="0"/>
      </w:pPr>
      <w:r w:rsidRPr="00763F2C">
        <w:rPr>
          <w:rFonts w:eastAsia="AdvGulliv-R"/>
          <w:i/>
        </w:rPr>
        <w:t xml:space="preserve"> </w:t>
      </w:r>
      <w:r w:rsidRPr="00763F2C">
        <w:rPr>
          <w:i/>
        </w:rPr>
        <w:t>Алексеев, П.</w:t>
      </w:r>
      <w:r w:rsidR="00763F2C">
        <w:rPr>
          <w:i/>
        </w:rPr>
        <w:t xml:space="preserve"> </w:t>
      </w:r>
      <w:r w:rsidRPr="00763F2C">
        <w:rPr>
          <w:i/>
        </w:rPr>
        <w:t xml:space="preserve">И. </w:t>
      </w:r>
      <w:r w:rsidRPr="00763F2C">
        <w:t>Устойчивость стержней и балок. Изд</w:t>
      </w:r>
      <w:r w:rsidR="00763F2C">
        <w:t>.</w:t>
      </w:r>
      <w:r w:rsidRPr="00763F2C">
        <w:t xml:space="preserve"> “Будiвельник”, Киев, 1964.</w:t>
      </w:r>
    </w:p>
    <w:p w:rsidR="009A7066" w:rsidRPr="00763F2C" w:rsidRDefault="009A7066" w:rsidP="00F918F9">
      <w:pPr>
        <w:numPr>
          <w:ilvl w:val="0"/>
          <w:numId w:val="3"/>
        </w:numPr>
        <w:tabs>
          <w:tab w:val="left" w:pos="284"/>
        </w:tabs>
        <w:ind w:left="0" w:firstLine="0"/>
      </w:pPr>
      <w:r w:rsidRPr="00763F2C">
        <w:rPr>
          <w:rFonts w:eastAsia="AdvGulliv-R"/>
          <w:i/>
        </w:rPr>
        <w:t xml:space="preserve"> Киндова-Петрова, Д., Св. Лилкова-</w:t>
      </w:r>
      <w:r w:rsidRPr="00763F2C">
        <w:rPr>
          <w:i/>
        </w:rPr>
        <w:t>Маркова</w:t>
      </w:r>
      <w:r w:rsidRPr="00763F2C">
        <w:rPr>
          <w:rFonts w:eastAsia="AdvGulliv-R"/>
          <w:i/>
        </w:rPr>
        <w:t xml:space="preserve">, В. Балабанов. </w:t>
      </w:r>
      <w:r w:rsidRPr="00763F2C">
        <w:t>Устойчивост</w:t>
      </w:r>
      <w:r w:rsidRPr="00763F2C">
        <w:rPr>
          <w:rFonts w:eastAsia="AdvGulliv-R"/>
        </w:rPr>
        <w:t xml:space="preserve"> на цен</w:t>
      </w:r>
      <w:r w:rsidR="00F918F9" w:rsidRPr="00763F2C">
        <w:rPr>
          <w:rFonts w:eastAsia="AdvGulliv-R"/>
        </w:rPr>
        <w:softHyphen/>
      </w:r>
      <w:r w:rsidRPr="00763F2C">
        <w:rPr>
          <w:rFonts w:eastAsia="AdvGulliv-R"/>
        </w:rPr>
        <w:t xml:space="preserve">трично натисната колона с променливо напречно сечение. </w:t>
      </w:r>
      <w:r w:rsidRPr="00763F2C">
        <w:t>Международна юбилейна научно-приложна конференция УАСГ2012, София.</w:t>
      </w:r>
    </w:p>
    <w:p w:rsidR="009A7066" w:rsidRPr="00763F2C" w:rsidRDefault="009A7066" w:rsidP="00F918F9">
      <w:pPr>
        <w:numPr>
          <w:ilvl w:val="0"/>
          <w:numId w:val="3"/>
        </w:numPr>
        <w:tabs>
          <w:tab w:val="left" w:pos="284"/>
        </w:tabs>
        <w:ind w:left="0" w:firstLine="0"/>
      </w:pPr>
      <w:r w:rsidRPr="00763F2C">
        <w:t xml:space="preserve"> </w:t>
      </w:r>
      <w:r w:rsidRPr="00763F2C">
        <w:rPr>
          <w:i/>
        </w:rPr>
        <w:t>Младенов, К.</w:t>
      </w:r>
      <w:r w:rsidRPr="00763F2C">
        <w:t xml:space="preserve">, </w:t>
      </w:r>
      <w:r w:rsidRPr="00763F2C">
        <w:rPr>
          <w:i/>
        </w:rPr>
        <w:t>Й. Клечеров</w:t>
      </w:r>
      <w:r w:rsidRPr="00763F2C">
        <w:t xml:space="preserve">, </w:t>
      </w:r>
      <w:r w:rsidRPr="00763F2C">
        <w:rPr>
          <w:i/>
        </w:rPr>
        <w:t>Св. Лилкова-Маркова</w:t>
      </w:r>
      <w:r w:rsidRPr="00763F2C">
        <w:t xml:space="preserve">, </w:t>
      </w:r>
      <w:r w:rsidRPr="00763F2C">
        <w:rPr>
          <w:i/>
        </w:rPr>
        <w:t>В. Ризов</w:t>
      </w:r>
      <w:r w:rsidRPr="00763F2C">
        <w:t>. Съпротивление на материалите. АВС „Техника”, 2012, София.</w:t>
      </w:r>
    </w:p>
    <w:p w:rsidR="009A7066" w:rsidRPr="00763F2C" w:rsidRDefault="009A7066" w:rsidP="00F918F9">
      <w:pPr>
        <w:numPr>
          <w:ilvl w:val="0"/>
          <w:numId w:val="3"/>
        </w:numPr>
        <w:tabs>
          <w:tab w:val="left" w:pos="284"/>
        </w:tabs>
        <w:ind w:left="0" w:firstLine="0"/>
      </w:pPr>
      <w:r w:rsidRPr="00763F2C">
        <w:rPr>
          <w:i/>
        </w:rPr>
        <w:t xml:space="preserve"> Bellman, R. E., J. Casti</w:t>
      </w:r>
      <w:r w:rsidRPr="00763F2C">
        <w:t>. Differential Quadrature and Long-Term Integration. Journal of Mathematical Analysis and Applications, 1971, (34), 235-238.</w:t>
      </w:r>
    </w:p>
    <w:p w:rsidR="009A7066" w:rsidRPr="00763F2C" w:rsidRDefault="009A7066" w:rsidP="00F918F9">
      <w:pPr>
        <w:numPr>
          <w:ilvl w:val="0"/>
          <w:numId w:val="3"/>
        </w:numPr>
        <w:tabs>
          <w:tab w:val="left" w:pos="284"/>
        </w:tabs>
        <w:ind w:left="0" w:firstLine="0"/>
      </w:pPr>
      <w:r w:rsidRPr="00763F2C">
        <w:rPr>
          <w:rFonts w:eastAsia="AdvGulliv-R"/>
          <w:i/>
        </w:rPr>
        <w:t xml:space="preserve"> Bert, C.</w:t>
      </w:r>
      <w:r w:rsidR="00F918F9" w:rsidRPr="00763F2C">
        <w:rPr>
          <w:rFonts w:eastAsia="AdvGulliv-R"/>
          <w:i/>
          <w:lang w:val="en-US"/>
        </w:rPr>
        <w:t xml:space="preserve"> </w:t>
      </w:r>
      <w:r w:rsidRPr="00763F2C">
        <w:rPr>
          <w:rFonts w:eastAsia="AdvGulliv-R"/>
          <w:i/>
        </w:rPr>
        <w:t>W., M. Malik</w:t>
      </w:r>
      <w:r w:rsidRPr="00763F2C">
        <w:rPr>
          <w:rFonts w:eastAsia="AdvGulliv-R"/>
        </w:rPr>
        <w:t xml:space="preserve">. Differential quadrature method in </w:t>
      </w:r>
      <w:r w:rsidRPr="00763F2C">
        <w:t>computational</w:t>
      </w:r>
      <w:r w:rsidRPr="00763F2C">
        <w:rPr>
          <w:rFonts w:eastAsia="AdvGulliv-R"/>
        </w:rPr>
        <w:t xml:space="preserve"> mechanics: a review, </w:t>
      </w:r>
      <w:r w:rsidRPr="00763F2C">
        <w:rPr>
          <w:rStyle w:val="st"/>
        </w:rPr>
        <w:t xml:space="preserve">Applied Mechanics </w:t>
      </w:r>
      <w:r w:rsidRPr="00763F2C">
        <w:rPr>
          <w:rStyle w:val="Emphasis"/>
          <w:i w:val="0"/>
        </w:rPr>
        <w:t>Reviews</w:t>
      </w:r>
      <w:r w:rsidRPr="00763F2C">
        <w:rPr>
          <w:rStyle w:val="Emphasis"/>
        </w:rPr>
        <w:t>,</w:t>
      </w:r>
      <w:r w:rsidRPr="00763F2C">
        <w:rPr>
          <w:rFonts w:eastAsia="AdvGulliv-R"/>
        </w:rPr>
        <w:t xml:space="preserve"> 1996, (49), 1–28.</w:t>
      </w:r>
    </w:p>
    <w:p w:rsidR="009A7066" w:rsidRPr="00763F2C" w:rsidRDefault="009A7066" w:rsidP="00F918F9">
      <w:pPr>
        <w:numPr>
          <w:ilvl w:val="0"/>
          <w:numId w:val="3"/>
        </w:numPr>
        <w:tabs>
          <w:tab w:val="left" w:pos="284"/>
        </w:tabs>
        <w:ind w:left="0" w:firstLine="0"/>
      </w:pPr>
      <w:r w:rsidRPr="00763F2C">
        <w:rPr>
          <w:i/>
        </w:rPr>
        <w:t xml:space="preserve"> Shu, C.</w:t>
      </w:r>
      <w:r w:rsidRPr="00763F2C">
        <w:t xml:space="preserve"> Differential </w:t>
      </w:r>
      <w:r w:rsidRPr="00763F2C">
        <w:rPr>
          <w:bCs/>
        </w:rPr>
        <w:t xml:space="preserve">Quadrature and Its Application in </w:t>
      </w:r>
      <w:r w:rsidRPr="00763F2C">
        <w:t>Engineering</w:t>
      </w:r>
      <w:r w:rsidRPr="00763F2C">
        <w:rPr>
          <w:bCs/>
        </w:rPr>
        <w:t xml:space="preserve">. </w:t>
      </w:r>
      <w:r w:rsidRPr="00763F2C">
        <w:t>Springer</w:t>
      </w:r>
      <w:r w:rsidRPr="00763F2C">
        <w:rPr>
          <w:bCs/>
        </w:rPr>
        <w:t>-Verlag, London, 2000.</w:t>
      </w:r>
    </w:p>
    <w:p w:rsidR="009A7066" w:rsidRPr="00763F2C" w:rsidRDefault="009A7066" w:rsidP="00F918F9">
      <w:pPr>
        <w:numPr>
          <w:ilvl w:val="0"/>
          <w:numId w:val="3"/>
        </w:numPr>
        <w:tabs>
          <w:tab w:val="left" w:pos="284"/>
        </w:tabs>
        <w:ind w:left="0" w:firstLine="0"/>
      </w:pPr>
      <w:r w:rsidRPr="00763F2C">
        <w:t xml:space="preserve"> </w:t>
      </w:r>
      <w:r w:rsidRPr="00763F2C">
        <w:rPr>
          <w:i/>
        </w:rPr>
        <w:t>Shu, C., B. E. Richards</w:t>
      </w:r>
      <w:r w:rsidRPr="00763F2C">
        <w:t>. Application of Generalized Differential Quadrature to Solve Two-Dimensional Incompressible Navier-Stokes Equations. International Journal of Numerical Methods in Fluids, 1992, (15), 791</w:t>
      </w:r>
      <w:r w:rsidR="00F918F9" w:rsidRPr="00763F2C">
        <w:rPr>
          <w:lang w:val="en-US"/>
        </w:rPr>
        <w:t>–</w:t>
      </w:r>
      <w:r w:rsidRPr="00763F2C">
        <w:t>798.</w:t>
      </w:r>
    </w:p>
    <w:p w:rsidR="009A7066" w:rsidRPr="00763F2C" w:rsidRDefault="009A7066" w:rsidP="00F918F9">
      <w:pPr>
        <w:numPr>
          <w:ilvl w:val="0"/>
          <w:numId w:val="3"/>
        </w:numPr>
        <w:tabs>
          <w:tab w:val="left" w:pos="284"/>
        </w:tabs>
        <w:ind w:left="0" w:firstLine="0"/>
        <w:rPr>
          <w:spacing w:val="-4"/>
        </w:rPr>
      </w:pPr>
      <w:r w:rsidRPr="00763F2C">
        <w:rPr>
          <w:i/>
          <w:spacing w:val="-4"/>
        </w:rPr>
        <w:t xml:space="preserve"> Timoshenko, S.</w:t>
      </w:r>
      <w:r w:rsidR="00F918F9" w:rsidRPr="00763F2C">
        <w:rPr>
          <w:i/>
          <w:spacing w:val="-4"/>
          <w:lang w:val="en-US"/>
        </w:rPr>
        <w:t xml:space="preserve"> </w:t>
      </w:r>
      <w:r w:rsidRPr="00763F2C">
        <w:rPr>
          <w:i/>
          <w:spacing w:val="-4"/>
        </w:rPr>
        <w:t>P.,</w:t>
      </w:r>
      <w:r w:rsidRPr="00763F2C">
        <w:rPr>
          <w:spacing w:val="-4"/>
        </w:rPr>
        <w:t xml:space="preserve"> </w:t>
      </w:r>
      <w:r w:rsidRPr="00763F2C">
        <w:rPr>
          <w:i/>
          <w:spacing w:val="-4"/>
        </w:rPr>
        <w:t>J.</w:t>
      </w:r>
      <w:r w:rsidR="00F918F9" w:rsidRPr="00763F2C">
        <w:rPr>
          <w:i/>
          <w:spacing w:val="-4"/>
          <w:lang w:val="en-US"/>
        </w:rPr>
        <w:t xml:space="preserve"> </w:t>
      </w:r>
      <w:r w:rsidRPr="00763F2C">
        <w:rPr>
          <w:i/>
          <w:spacing w:val="-4"/>
        </w:rPr>
        <w:t>M.</w:t>
      </w:r>
      <w:r w:rsidR="00F918F9" w:rsidRPr="00763F2C">
        <w:rPr>
          <w:i/>
          <w:spacing w:val="-4"/>
          <w:lang w:val="en-US"/>
        </w:rPr>
        <w:t xml:space="preserve"> </w:t>
      </w:r>
      <w:r w:rsidRPr="00763F2C">
        <w:rPr>
          <w:i/>
          <w:spacing w:val="-4"/>
        </w:rPr>
        <w:t>Gere</w:t>
      </w:r>
      <w:r w:rsidRPr="00763F2C">
        <w:rPr>
          <w:spacing w:val="-4"/>
        </w:rPr>
        <w:t>. Theоry of Elastic Stability. New York: Mc-Graw Hill, 1961.</w:t>
      </w:r>
    </w:p>
    <w:p w:rsidR="009A7066" w:rsidRPr="00D5663B" w:rsidRDefault="009A7066" w:rsidP="00F918F9">
      <w:pPr>
        <w:pStyle w:val="Title"/>
        <w:spacing w:after="240"/>
      </w:pPr>
      <w:r w:rsidRPr="00D5663B">
        <w:t>Application of the differential quadrature method to stability analysis of AXIALLY COMPRESSED COLUMN WITH VARIABLE CROSS-SECTION</w:t>
      </w:r>
    </w:p>
    <w:p w:rsidR="009A7066" w:rsidRPr="00D5663B" w:rsidRDefault="009A7066" w:rsidP="00F918F9">
      <w:pPr>
        <w:pStyle w:val="NAME"/>
        <w:spacing w:after="240"/>
        <w:rPr>
          <w:lang w:val="bg-BG"/>
        </w:rPr>
      </w:pPr>
      <w:r w:rsidRPr="00D5663B">
        <w:rPr>
          <w:lang w:val="bg-BG"/>
        </w:rPr>
        <w:t>D. Kindova-Petrova</w:t>
      </w:r>
      <w:r w:rsidRPr="00D5663B">
        <w:rPr>
          <w:rStyle w:val="FootnoteReference"/>
          <w:lang w:val="bg-BG"/>
        </w:rPr>
        <w:footnoteReference w:id="3"/>
      </w:r>
      <w:r w:rsidRPr="00D5663B">
        <w:rPr>
          <w:lang w:val="bg-BG"/>
        </w:rPr>
        <w:t>, Sv. Lilkova-Markova</w:t>
      </w:r>
      <w:r w:rsidRPr="00D5663B">
        <w:rPr>
          <w:rStyle w:val="FootnoteReference"/>
          <w:lang w:val="bg-BG"/>
        </w:rPr>
        <w:footnoteReference w:id="4"/>
      </w:r>
    </w:p>
    <w:p w:rsidR="009A7066" w:rsidRPr="00D5663B" w:rsidRDefault="009A7066" w:rsidP="00F918F9">
      <w:pPr>
        <w:pStyle w:val="KeyWords"/>
        <w:spacing w:after="60"/>
      </w:pPr>
      <w:r w:rsidRPr="00D5663B">
        <w:rPr>
          <w:b/>
        </w:rPr>
        <w:t>Keywords</w:t>
      </w:r>
      <w:r w:rsidRPr="00D5663B">
        <w:rPr>
          <w:b/>
          <w:i w:val="0"/>
        </w:rPr>
        <w:t>:</w:t>
      </w:r>
      <w:r w:rsidRPr="00D5663B">
        <w:t xml:space="preserve"> stability, variable cross-section, differential quadrature method</w:t>
      </w:r>
    </w:p>
    <w:p w:rsidR="009A7066" w:rsidRPr="00D5663B" w:rsidRDefault="009A7066" w:rsidP="00273D74">
      <w:pPr>
        <w:pStyle w:val="KeyWords"/>
      </w:pPr>
      <w:r w:rsidRPr="00D5663B">
        <w:rPr>
          <w:b/>
        </w:rPr>
        <w:t>Research area</w:t>
      </w:r>
      <w:r w:rsidRPr="00D5663B">
        <w:rPr>
          <w:b/>
          <w:i w:val="0"/>
        </w:rPr>
        <w:t>:</w:t>
      </w:r>
      <w:r w:rsidRPr="00D5663B">
        <w:t xml:space="preserve"> mechanics</w:t>
      </w:r>
    </w:p>
    <w:p w:rsidR="009A7066" w:rsidRPr="00D5663B" w:rsidRDefault="009A7066" w:rsidP="00F918F9">
      <w:pPr>
        <w:pStyle w:val="Abstract"/>
        <w:spacing w:before="240" w:after="120"/>
        <w:rPr>
          <w:lang w:val="bg-BG"/>
        </w:rPr>
      </w:pPr>
      <w:r w:rsidRPr="00D5663B">
        <w:rPr>
          <w:lang w:val="bg-BG"/>
        </w:rPr>
        <w:t>ABSTRACT</w:t>
      </w:r>
    </w:p>
    <w:p w:rsidR="009A7066" w:rsidRPr="00D5663B" w:rsidRDefault="009A7066" w:rsidP="00273D74">
      <w:r w:rsidRPr="00D5663B">
        <w:t>The differential quadrature method (DQM) is applied to study the stabilit</w:t>
      </w:r>
      <w:r w:rsidR="00F918F9">
        <w:t xml:space="preserve">y of axially compressed column </w:t>
      </w:r>
      <w:r w:rsidRPr="00D5663B">
        <w:t>with variable cross-section. The static scheme of the component is hinged-hinged. Two different cases of linear variation of cross-sections width are considered. The obtained results from DQM are compared with those obtained from the exact solution.</w:t>
      </w:r>
    </w:p>
    <w:sectPr w:rsidR="009A7066" w:rsidRPr="00D5663B" w:rsidSect="00B1512E">
      <w:footerReference w:type="even" r:id="rId59"/>
      <w:footerReference w:type="default" r:id="rId60"/>
      <w:footnotePr>
        <w:numRestart w:val="eachPage"/>
      </w:footnotePr>
      <w:pgSz w:w="11906" w:h="16838" w:code="9"/>
      <w:pgMar w:top="2608" w:right="2211" w:bottom="2835" w:left="2211" w:header="0" w:footer="2381" w:gutter="0"/>
      <w:pgNumType w:start="16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44A" w:rsidRDefault="00A3144A">
      <w:r>
        <w:separator/>
      </w:r>
    </w:p>
  </w:endnote>
  <w:endnote w:type="continuationSeparator" w:id="0">
    <w:p w:rsidR="00A3144A" w:rsidRDefault="00A314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dvGulliv-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2BA" w:rsidRDefault="00EA62BA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EA62BA" w:rsidRDefault="00EA62B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2BA" w:rsidRDefault="00EA62BA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53AA">
      <w:rPr>
        <w:rStyle w:val="PageNumber"/>
        <w:noProof/>
      </w:rPr>
      <w:t>167</w:t>
    </w:r>
    <w:r>
      <w:rPr>
        <w:rStyle w:val="PageNumber"/>
      </w:rPr>
      <w:fldChar w:fldCharType="end"/>
    </w:r>
  </w:p>
  <w:p w:rsidR="00EA62BA" w:rsidRDefault="00EA62B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44A" w:rsidRDefault="00A3144A" w:rsidP="00EE537D">
      <w:pPr>
        <w:ind w:firstLine="0"/>
      </w:pPr>
      <w:r>
        <w:separator/>
      </w:r>
    </w:p>
  </w:footnote>
  <w:footnote w:type="continuationSeparator" w:id="0">
    <w:p w:rsidR="00A3144A" w:rsidRDefault="00A3144A">
      <w:r>
        <w:continuationSeparator/>
      </w:r>
    </w:p>
  </w:footnote>
  <w:footnote w:id="1">
    <w:p w:rsidR="009A7066" w:rsidRDefault="009A7066" w:rsidP="00E24334">
      <w:pPr>
        <w:pStyle w:val="FootnoteText"/>
        <w:ind w:firstLine="0"/>
        <w:jc w:val="left"/>
      </w:pPr>
      <w:r>
        <w:rPr>
          <w:rStyle w:val="FootnoteReference"/>
        </w:rPr>
        <w:footnoteRef/>
      </w:r>
      <w:r w:rsidRPr="00F94CA3">
        <w:rPr>
          <w:lang w:val="ru-RU"/>
        </w:rPr>
        <w:t xml:space="preserve"> </w:t>
      </w:r>
      <w:r>
        <w:rPr>
          <w:lang w:val="ru-RU"/>
        </w:rPr>
        <w:t>Д</w:t>
      </w:r>
      <w:r>
        <w:t>имитрина</w:t>
      </w:r>
      <w:r w:rsidRPr="00F94CA3">
        <w:rPr>
          <w:lang w:val="ru-RU"/>
        </w:rPr>
        <w:t xml:space="preserve"> </w:t>
      </w:r>
      <w:r>
        <w:rPr>
          <w:lang w:val="ru-RU"/>
        </w:rPr>
        <w:t>Киндова-Петрова, гл.</w:t>
      </w:r>
      <w:r w:rsidR="002437C9" w:rsidRPr="008D53AA">
        <w:rPr>
          <w:lang w:val="ru-RU"/>
        </w:rPr>
        <w:t xml:space="preserve"> </w:t>
      </w:r>
      <w:r>
        <w:rPr>
          <w:lang w:val="ru-RU"/>
        </w:rPr>
        <w:t>ас.</w:t>
      </w:r>
      <w:r w:rsidRPr="00F94CA3">
        <w:rPr>
          <w:lang w:val="ru-RU"/>
        </w:rPr>
        <w:t xml:space="preserve">, </w:t>
      </w:r>
      <w:r w:rsidR="002437C9">
        <w:rPr>
          <w:lang w:val="ru-RU"/>
        </w:rPr>
        <w:t>кат</w:t>
      </w:r>
      <w:r w:rsidR="002437C9" w:rsidRPr="008D53AA">
        <w:rPr>
          <w:lang w:val="ru-RU"/>
        </w:rPr>
        <w:t>.</w:t>
      </w:r>
      <w:r w:rsidR="002437C9" w:rsidRPr="005E7A6E">
        <w:rPr>
          <w:lang w:val="ru-RU"/>
        </w:rPr>
        <w:t xml:space="preserve"> </w:t>
      </w:r>
      <w:r w:rsidR="002437C9" w:rsidRPr="00304629">
        <w:rPr>
          <w:lang w:val="ru-RU"/>
        </w:rPr>
        <w:t>“</w:t>
      </w:r>
      <w:r w:rsidR="002437C9">
        <w:rPr>
          <w:lang w:val="ru-RU"/>
        </w:rPr>
        <w:t>Техническа механика</w:t>
      </w:r>
      <w:r w:rsidR="002437C9" w:rsidRPr="00304629">
        <w:rPr>
          <w:lang w:val="ru-RU"/>
        </w:rPr>
        <w:t>”</w:t>
      </w:r>
      <w:r w:rsidR="002437C9">
        <w:rPr>
          <w:lang w:val="ru-RU"/>
        </w:rPr>
        <w:t>,</w:t>
      </w:r>
      <w:r w:rsidR="002437C9" w:rsidRPr="00F94CA3">
        <w:rPr>
          <w:lang w:val="ru-RU"/>
        </w:rPr>
        <w:t xml:space="preserve"> </w:t>
      </w:r>
      <w:r w:rsidR="002437C9">
        <w:rPr>
          <w:lang w:val="ru-RU"/>
        </w:rPr>
        <w:t xml:space="preserve">УАСГ, </w:t>
      </w:r>
      <w:r>
        <w:rPr>
          <w:lang w:val="ru-RU"/>
        </w:rPr>
        <w:t xml:space="preserve">бул. </w:t>
      </w:r>
      <w:r w:rsidRPr="008D53AA">
        <w:rPr>
          <w:lang w:val="ru-RU"/>
        </w:rPr>
        <w:t>“</w:t>
      </w:r>
      <w:r>
        <w:rPr>
          <w:lang w:val="ru-RU"/>
        </w:rPr>
        <w:t>Хр. Смирненски</w:t>
      </w:r>
      <w:r w:rsidRPr="008D53AA">
        <w:rPr>
          <w:lang w:val="ru-RU"/>
        </w:rPr>
        <w:t xml:space="preserve">” </w:t>
      </w:r>
      <w:r w:rsidR="00B1512E">
        <w:t xml:space="preserve">№ </w:t>
      </w:r>
      <w:r>
        <w:rPr>
          <w:lang w:val="ru-RU"/>
        </w:rPr>
        <w:t xml:space="preserve">1, </w:t>
      </w:r>
      <w:r w:rsidR="00B1512E">
        <w:rPr>
          <w:lang w:val="ru-RU"/>
        </w:rPr>
        <w:t xml:space="preserve">1046 </w:t>
      </w:r>
      <w:r w:rsidR="00B1512E" w:rsidRPr="000464B7">
        <w:rPr>
          <w:lang w:val="ru-RU"/>
        </w:rPr>
        <w:t xml:space="preserve">София, </w:t>
      </w:r>
      <w:r>
        <w:rPr>
          <w:lang w:val="en-US"/>
        </w:rPr>
        <w:t>e</w:t>
      </w:r>
      <w:r w:rsidRPr="00F94CA3">
        <w:rPr>
          <w:lang w:val="ru-RU"/>
        </w:rPr>
        <w:t>-</w:t>
      </w:r>
      <w:r>
        <w:rPr>
          <w:lang w:val="en-US"/>
        </w:rPr>
        <w:t>mail</w:t>
      </w:r>
      <w:r>
        <w:t xml:space="preserve">: </w:t>
      </w:r>
      <w:r>
        <w:rPr>
          <w:lang w:val="en-US"/>
        </w:rPr>
        <w:t>dkindova</w:t>
      </w:r>
      <w:r w:rsidRPr="0099656A">
        <w:rPr>
          <w:lang w:val="ru-RU"/>
        </w:rPr>
        <w:t>@</w:t>
      </w:r>
      <w:r>
        <w:rPr>
          <w:lang w:val="en-US"/>
        </w:rPr>
        <w:t>abv</w:t>
      </w:r>
      <w:r w:rsidRPr="0099656A">
        <w:rPr>
          <w:lang w:val="ru-RU"/>
        </w:rPr>
        <w:t>.</w:t>
      </w:r>
      <w:r>
        <w:rPr>
          <w:lang w:val="en-US"/>
        </w:rPr>
        <w:t>bg</w:t>
      </w:r>
    </w:p>
  </w:footnote>
  <w:footnote w:id="2">
    <w:p w:rsidR="009A7066" w:rsidRDefault="009A7066" w:rsidP="00E24334">
      <w:pPr>
        <w:pStyle w:val="FootnoteText"/>
        <w:ind w:firstLine="0"/>
        <w:jc w:val="left"/>
      </w:pPr>
      <w:r>
        <w:rPr>
          <w:rStyle w:val="FootnoteReference"/>
        </w:rPr>
        <w:footnoteRef/>
      </w:r>
      <w:r w:rsidRPr="00F94CA3">
        <w:rPr>
          <w:lang w:val="ru-RU"/>
        </w:rPr>
        <w:t xml:space="preserve"> </w:t>
      </w:r>
      <w:r>
        <w:t>Светлана</w:t>
      </w:r>
      <w:r w:rsidRPr="00F94CA3">
        <w:rPr>
          <w:lang w:val="ru-RU"/>
        </w:rPr>
        <w:t xml:space="preserve"> </w:t>
      </w:r>
      <w:r>
        <w:rPr>
          <w:lang w:val="ru-RU"/>
        </w:rPr>
        <w:t>Лилкова-Маркова, проф. д-р</w:t>
      </w:r>
      <w:r w:rsidRPr="00F94CA3">
        <w:rPr>
          <w:lang w:val="ru-RU"/>
        </w:rPr>
        <w:t xml:space="preserve">, </w:t>
      </w:r>
      <w:r w:rsidR="002437C9">
        <w:rPr>
          <w:lang w:val="ru-RU"/>
        </w:rPr>
        <w:t>кат</w:t>
      </w:r>
      <w:r w:rsidR="002437C9" w:rsidRPr="00304629">
        <w:t>.</w:t>
      </w:r>
      <w:r w:rsidR="002437C9" w:rsidRPr="005E7A6E">
        <w:rPr>
          <w:lang w:val="ru-RU"/>
        </w:rPr>
        <w:t xml:space="preserve"> </w:t>
      </w:r>
      <w:r w:rsidR="002437C9" w:rsidRPr="00304629">
        <w:rPr>
          <w:lang w:val="ru-RU"/>
        </w:rPr>
        <w:t>“</w:t>
      </w:r>
      <w:r w:rsidR="002437C9">
        <w:rPr>
          <w:lang w:val="ru-RU"/>
        </w:rPr>
        <w:t>Техническа механика</w:t>
      </w:r>
      <w:r w:rsidR="002437C9" w:rsidRPr="00304629">
        <w:rPr>
          <w:lang w:val="ru-RU"/>
        </w:rPr>
        <w:t>”</w:t>
      </w:r>
      <w:r w:rsidR="002437C9">
        <w:rPr>
          <w:lang w:val="ru-RU"/>
        </w:rPr>
        <w:t>,</w:t>
      </w:r>
      <w:r w:rsidR="002437C9" w:rsidRPr="00F94CA3">
        <w:rPr>
          <w:lang w:val="ru-RU"/>
        </w:rPr>
        <w:t xml:space="preserve"> </w:t>
      </w:r>
      <w:r w:rsidR="002437C9">
        <w:rPr>
          <w:lang w:val="ru-RU"/>
        </w:rPr>
        <w:t xml:space="preserve">УАСГ, </w:t>
      </w:r>
      <w:r>
        <w:rPr>
          <w:lang w:val="ru-RU"/>
        </w:rPr>
        <w:t xml:space="preserve">бул. </w:t>
      </w:r>
      <w:r w:rsidRPr="008D53AA">
        <w:rPr>
          <w:lang w:val="ru-RU"/>
        </w:rPr>
        <w:t>“</w:t>
      </w:r>
      <w:r>
        <w:rPr>
          <w:lang w:val="ru-RU"/>
        </w:rPr>
        <w:t>Хр. Смирненски</w:t>
      </w:r>
      <w:r w:rsidRPr="008D53AA">
        <w:rPr>
          <w:lang w:val="ru-RU"/>
        </w:rPr>
        <w:t xml:space="preserve">” </w:t>
      </w:r>
      <w:r w:rsidR="00B1512E">
        <w:t xml:space="preserve">№ </w:t>
      </w:r>
      <w:r>
        <w:rPr>
          <w:lang w:val="ru-RU"/>
        </w:rPr>
        <w:t xml:space="preserve">1, </w:t>
      </w:r>
      <w:r w:rsidR="00B1512E">
        <w:rPr>
          <w:lang w:val="ru-RU"/>
        </w:rPr>
        <w:t xml:space="preserve">1046 София, </w:t>
      </w:r>
      <w:r>
        <w:rPr>
          <w:lang w:val="en-US"/>
        </w:rPr>
        <w:t>e</w:t>
      </w:r>
      <w:r w:rsidRPr="00F94CA3">
        <w:rPr>
          <w:lang w:val="ru-RU"/>
        </w:rPr>
        <w:t>-</w:t>
      </w:r>
      <w:r>
        <w:rPr>
          <w:lang w:val="en-US"/>
        </w:rPr>
        <w:t>mail</w:t>
      </w:r>
      <w:r w:rsidRPr="00896D19">
        <w:rPr>
          <w:color w:val="000000"/>
        </w:rPr>
        <w:t xml:space="preserve">: </w:t>
      </w:r>
      <w:r w:rsidRPr="0039292D">
        <w:t>lilkovasvetlana@gmail.com</w:t>
      </w:r>
    </w:p>
  </w:footnote>
  <w:footnote w:id="3">
    <w:p w:rsidR="009A7066" w:rsidRDefault="009A7066" w:rsidP="009A7066">
      <w:pPr>
        <w:pStyle w:val="FootnoteText"/>
        <w:ind w:firstLine="0"/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Dimitrina</w:t>
      </w:r>
      <w:r w:rsidRPr="00853BD6">
        <w:t xml:space="preserve"> </w:t>
      </w:r>
      <w:r>
        <w:rPr>
          <w:lang w:val="en-US"/>
        </w:rPr>
        <w:t>Kindova</w:t>
      </w:r>
      <w:r w:rsidRPr="00853BD6">
        <w:t>-</w:t>
      </w:r>
      <w:r>
        <w:rPr>
          <w:lang w:val="en-US"/>
        </w:rPr>
        <w:t>Petrova</w:t>
      </w:r>
      <w:r w:rsidRPr="00853BD6">
        <w:t xml:space="preserve">, </w:t>
      </w:r>
      <w:r>
        <w:rPr>
          <w:lang w:val="en-US"/>
        </w:rPr>
        <w:t>Assist.</w:t>
      </w:r>
      <w:r w:rsidRPr="00853BD6">
        <w:t xml:space="preserve"> </w:t>
      </w:r>
      <w:r>
        <w:rPr>
          <w:lang w:val="en-US"/>
        </w:rPr>
        <w:t>Prof. Eng.</w:t>
      </w:r>
      <w:r w:rsidRPr="00853BD6">
        <w:t xml:space="preserve">, </w:t>
      </w:r>
      <w:r>
        <w:rPr>
          <w:lang w:val="en-GB"/>
        </w:rPr>
        <w:t>Dpt. “Technical Mechanics”</w:t>
      </w:r>
      <w:r>
        <w:rPr>
          <w:lang w:val="en-US"/>
        </w:rPr>
        <w:t>, UACEG, 1 H. Smirnenski Blvd., Sofia 1046,</w:t>
      </w:r>
      <w:r w:rsidRPr="00853BD6">
        <w:t xml:space="preserve"> </w:t>
      </w:r>
      <w:r>
        <w:rPr>
          <w:lang w:val="en-US"/>
        </w:rPr>
        <w:t>e</w:t>
      </w:r>
      <w:r w:rsidRPr="00853BD6">
        <w:t>-</w:t>
      </w:r>
      <w:r>
        <w:rPr>
          <w:lang w:val="en-US"/>
        </w:rPr>
        <w:t>mail</w:t>
      </w:r>
      <w:r>
        <w:t xml:space="preserve">: </w:t>
      </w:r>
      <w:r>
        <w:rPr>
          <w:lang w:val="en-US"/>
        </w:rPr>
        <w:t>dkindova</w:t>
      </w:r>
      <w:r w:rsidRPr="00853BD6">
        <w:t>@</w:t>
      </w:r>
      <w:r>
        <w:rPr>
          <w:lang w:val="en-US"/>
        </w:rPr>
        <w:t>abv</w:t>
      </w:r>
      <w:r w:rsidRPr="00853BD6">
        <w:t>.</w:t>
      </w:r>
      <w:r>
        <w:rPr>
          <w:lang w:val="en-US"/>
        </w:rPr>
        <w:t>bg</w:t>
      </w:r>
    </w:p>
  </w:footnote>
  <w:footnote w:id="4">
    <w:p w:rsidR="009A7066" w:rsidRDefault="009A7066" w:rsidP="009A7066">
      <w:pPr>
        <w:pStyle w:val="FootnoteText"/>
        <w:ind w:firstLine="0"/>
      </w:pPr>
      <w:r>
        <w:rPr>
          <w:rStyle w:val="FootnoteReference"/>
        </w:rPr>
        <w:footnoteRef/>
      </w:r>
      <w:r>
        <w:t xml:space="preserve"> </w:t>
      </w:r>
      <w:r>
        <w:rPr>
          <w:lang w:val="en-US"/>
        </w:rPr>
        <w:t>Svetlana</w:t>
      </w:r>
      <w:r w:rsidRPr="00853BD6">
        <w:rPr>
          <w:lang w:val="en-US"/>
        </w:rPr>
        <w:t xml:space="preserve"> </w:t>
      </w:r>
      <w:r>
        <w:rPr>
          <w:lang w:val="en-US"/>
        </w:rPr>
        <w:t>Lilkova</w:t>
      </w:r>
      <w:r w:rsidRPr="00853BD6">
        <w:rPr>
          <w:lang w:val="en-US"/>
        </w:rPr>
        <w:t>-</w:t>
      </w:r>
      <w:r>
        <w:rPr>
          <w:lang w:val="en-US"/>
        </w:rPr>
        <w:t>Markova</w:t>
      </w:r>
      <w:r w:rsidRPr="00853BD6">
        <w:rPr>
          <w:lang w:val="en-US"/>
        </w:rPr>
        <w:t xml:space="preserve">, </w:t>
      </w:r>
      <w:r>
        <w:rPr>
          <w:lang w:val="en-US"/>
        </w:rPr>
        <w:t>Prof. Dr. Eng.</w:t>
      </w:r>
      <w:r w:rsidRPr="00853BD6">
        <w:rPr>
          <w:lang w:val="en-US"/>
        </w:rPr>
        <w:t xml:space="preserve">, </w:t>
      </w:r>
      <w:r>
        <w:rPr>
          <w:lang w:val="en-GB"/>
        </w:rPr>
        <w:t>Dpt. “Technical Mechanics”</w:t>
      </w:r>
      <w:r>
        <w:rPr>
          <w:lang w:val="en-US"/>
        </w:rPr>
        <w:t>, UACEG, 1 H. Smirnenski Blvd., Sofia 1046, e</w:t>
      </w:r>
      <w:r w:rsidRPr="00DC4843">
        <w:rPr>
          <w:lang w:val="en-US"/>
        </w:rPr>
        <w:t>-</w:t>
      </w:r>
      <w:r>
        <w:rPr>
          <w:lang w:val="en-US"/>
        </w:rPr>
        <w:t>mail</w:t>
      </w:r>
      <w:r w:rsidRPr="00896D19">
        <w:rPr>
          <w:color w:val="000000"/>
        </w:rPr>
        <w:t xml:space="preserve">: </w:t>
      </w:r>
      <w:r w:rsidRPr="00C82454">
        <w:t>lilkovasvetlana@gmail.com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57054"/>
    <w:multiLevelType w:val="hybridMultilevel"/>
    <w:tmpl w:val="CDE67E3A"/>
    <w:lvl w:ilvl="0" w:tplc="6A3CF954">
      <w:start w:val="1"/>
      <w:numFmt w:val="decimal"/>
      <w:lvlText w:val="%1."/>
      <w:lvlJc w:val="left"/>
      <w:pPr>
        <w:ind w:left="1377" w:hanging="81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31832F58"/>
    <w:multiLevelType w:val="hybridMultilevel"/>
    <w:tmpl w:val="E4CE6C88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5C062185"/>
    <w:multiLevelType w:val="hybridMultilevel"/>
    <w:tmpl w:val="3D789B6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066"/>
    <w:rsid w:val="00010386"/>
    <w:rsid w:val="00053C1B"/>
    <w:rsid w:val="00094680"/>
    <w:rsid w:val="000F3039"/>
    <w:rsid w:val="000F5691"/>
    <w:rsid w:val="00165875"/>
    <w:rsid w:val="00182024"/>
    <w:rsid w:val="001A107A"/>
    <w:rsid w:val="001F4E8C"/>
    <w:rsid w:val="002437C9"/>
    <w:rsid w:val="00275C89"/>
    <w:rsid w:val="002A08C8"/>
    <w:rsid w:val="002A21B8"/>
    <w:rsid w:val="002F39E1"/>
    <w:rsid w:val="002F42D6"/>
    <w:rsid w:val="00304629"/>
    <w:rsid w:val="00316B4B"/>
    <w:rsid w:val="00347B1B"/>
    <w:rsid w:val="00380A43"/>
    <w:rsid w:val="003A25F4"/>
    <w:rsid w:val="003A389D"/>
    <w:rsid w:val="003D108E"/>
    <w:rsid w:val="003D4614"/>
    <w:rsid w:val="003E1E90"/>
    <w:rsid w:val="003F4C8E"/>
    <w:rsid w:val="0041569C"/>
    <w:rsid w:val="004175B6"/>
    <w:rsid w:val="00476578"/>
    <w:rsid w:val="004817E6"/>
    <w:rsid w:val="0050566D"/>
    <w:rsid w:val="005359D5"/>
    <w:rsid w:val="00544B64"/>
    <w:rsid w:val="00592640"/>
    <w:rsid w:val="005A1A3A"/>
    <w:rsid w:val="005F7A63"/>
    <w:rsid w:val="00667E42"/>
    <w:rsid w:val="00676556"/>
    <w:rsid w:val="00686952"/>
    <w:rsid w:val="006A3993"/>
    <w:rsid w:val="006A7914"/>
    <w:rsid w:val="006D013E"/>
    <w:rsid w:val="006E1BA2"/>
    <w:rsid w:val="007177F5"/>
    <w:rsid w:val="007429B2"/>
    <w:rsid w:val="00763F2C"/>
    <w:rsid w:val="0077546F"/>
    <w:rsid w:val="0079179B"/>
    <w:rsid w:val="00797722"/>
    <w:rsid w:val="00831030"/>
    <w:rsid w:val="008646A5"/>
    <w:rsid w:val="008C2328"/>
    <w:rsid w:val="008D02F0"/>
    <w:rsid w:val="008D53AA"/>
    <w:rsid w:val="0092153C"/>
    <w:rsid w:val="009672B0"/>
    <w:rsid w:val="009A7066"/>
    <w:rsid w:val="009B3DFA"/>
    <w:rsid w:val="009E3474"/>
    <w:rsid w:val="00A04281"/>
    <w:rsid w:val="00A3144A"/>
    <w:rsid w:val="00A556B0"/>
    <w:rsid w:val="00A76411"/>
    <w:rsid w:val="00B1512E"/>
    <w:rsid w:val="00B22799"/>
    <w:rsid w:val="00B5390E"/>
    <w:rsid w:val="00B67121"/>
    <w:rsid w:val="00B75B80"/>
    <w:rsid w:val="00BD1C56"/>
    <w:rsid w:val="00C12954"/>
    <w:rsid w:val="00CA7613"/>
    <w:rsid w:val="00CB0F88"/>
    <w:rsid w:val="00CE2F98"/>
    <w:rsid w:val="00D45D08"/>
    <w:rsid w:val="00D52E44"/>
    <w:rsid w:val="00D5663B"/>
    <w:rsid w:val="00D62109"/>
    <w:rsid w:val="00D628A5"/>
    <w:rsid w:val="00D93655"/>
    <w:rsid w:val="00DB63E3"/>
    <w:rsid w:val="00DC5691"/>
    <w:rsid w:val="00DD2EBF"/>
    <w:rsid w:val="00DF7C6B"/>
    <w:rsid w:val="00E24334"/>
    <w:rsid w:val="00E57C84"/>
    <w:rsid w:val="00E60769"/>
    <w:rsid w:val="00E71AC3"/>
    <w:rsid w:val="00EA62BA"/>
    <w:rsid w:val="00EC5D42"/>
    <w:rsid w:val="00EE537D"/>
    <w:rsid w:val="00F06A9B"/>
    <w:rsid w:val="00F24EA6"/>
    <w:rsid w:val="00F44A53"/>
    <w:rsid w:val="00F918F9"/>
    <w:rsid w:val="00FD5930"/>
    <w:rsid w:val="00FE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567"/>
      <w:jc w:val="both"/>
    </w:pPr>
    <w:rPr>
      <w:lang w:val="bg-BG" w:eastAsia="bg-BG"/>
    </w:rPr>
  </w:style>
  <w:style w:type="paragraph" w:styleId="Heading1">
    <w:name w:val="heading 1"/>
    <w:basedOn w:val="Normal"/>
    <w:next w:val="Normal"/>
    <w:qFormat/>
    <w:pPr>
      <w:keepNext/>
      <w:spacing w:before="360" w:after="240"/>
      <w:ind w:left="567" w:firstLine="0"/>
      <w:jc w:val="left"/>
      <w:outlineLvl w:val="0"/>
    </w:pPr>
    <w:rPr>
      <w:b/>
      <w:kern w:val="28"/>
      <w:sz w:val="24"/>
    </w:rPr>
  </w:style>
  <w:style w:type="paragraph" w:styleId="Heading2">
    <w:name w:val="heading 2"/>
    <w:basedOn w:val="Normal"/>
    <w:next w:val="Normal"/>
    <w:qFormat/>
    <w:pPr>
      <w:keepNext/>
      <w:spacing w:before="240" w:after="120"/>
      <w:ind w:left="567" w:firstLine="0"/>
      <w:jc w:val="left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pPr>
      <w:keepNext/>
      <w:spacing w:before="120"/>
      <w:ind w:left="567" w:firstLine="0"/>
      <w:jc w:val="left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E">
    <w:name w:val="NAME"/>
    <w:basedOn w:val="Normal"/>
    <w:pPr>
      <w:spacing w:after="360"/>
      <w:ind w:firstLine="0"/>
      <w:jc w:val="center"/>
    </w:pPr>
    <w:rPr>
      <w:b/>
      <w:sz w:val="22"/>
      <w:lang w:val="en-US"/>
    </w:rPr>
  </w:style>
  <w:style w:type="paragraph" w:customStyle="1" w:styleId="Literature">
    <w:name w:val="Literature"/>
    <w:basedOn w:val="Normal"/>
    <w:pPr>
      <w:spacing w:before="360" w:after="240"/>
      <w:ind w:firstLine="0"/>
      <w:jc w:val="center"/>
    </w:pPr>
    <w:rPr>
      <w:b/>
      <w:caps/>
      <w:lang w:val="en-US"/>
    </w:rPr>
  </w:style>
  <w:style w:type="paragraph" w:customStyle="1" w:styleId="Fig">
    <w:name w:val="Fig"/>
    <w:basedOn w:val="Normal"/>
    <w:pPr>
      <w:spacing w:before="120" w:after="120"/>
      <w:ind w:firstLine="0"/>
      <w:jc w:val="center"/>
    </w:pPr>
    <w:rPr>
      <w:b/>
      <w:sz w:val="18"/>
      <w:lang w:val="en-US"/>
    </w:rPr>
  </w:style>
  <w:style w:type="paragraph" w:customStyle="1" w:styleId="Fig-1">
    <w:name w:val="Fig-1"/>
    <w:basedOn w:val="Fig"/>
    <w:pPr>
      <w:spacing w:before="0"/>
    </w:pPr>
    <w:rPr>
      <w:b w:val="0"/>
      <w:i/>
    </w:rPr>
  </w:style>
  <w:style w:type="paragraph" w:styleId="BodyText">
    <w:name w:val="Body Text"/>
    <w:basedOn w:val="Normal"/>
  </w:style>
  <w:style w:type="paragraph" w:customStyle="1" w:styleId="Abstract">
    <w:name w:val="Abstract"/>
    <w:basedOn w:val="Normal"/>
    <w:rsid w:val="00380A43"/>
    <w:pPr>
      <w:spacing w:before="360" w:after="240"/>
      <w:ind w:firstLine="0"/>
      <w:jc w:val="center"/>
    </w:pPr>
    <w:rPr>
      <w:b/>
      <w:caps/>
      <w:lang w:val="en-US"/>
    </w:rPr>
  </w:style>
  <w:style w:type="paragraph" w:customStyle="1" w:styleId="Table-Title">
    <w:name w:val="Table-Title"/>
    <w:basedOn w:val="Table-Number"/>
    <w:pPr>
      <w:spacing w:before="0"/>
      <w:jc w:val="center"/>
    </w:pPr>
  </w:style>
  <w:style w:type="paragraph" w:customStyle="1" w:styleId="Table-Number">
    <w:name w:val="Table-Number"/>
    <w:basedOn w:val="Normal"/>
    <w:pPr>
      <w:spacing w:before="120" w:after="120"/>
      <w:ind w:firstLine="0"/>
      <w:jc w:val="right"/>
    </w:pPr>
    <w:rPr>
      <w:b/>
      <w:lang w:val="en-US"/>
    </w:rPr>
  </w:style>
  <w:style w:type="paragraph" w:styleId="FootnoteText">
    <w:name w:val="footnote text"/>
    <w:basedOn w:val="Normal"/>
    <w:link w:val="FootnoteTextChar"/>
    <w:semiHidden/>
    <w:rPr>
      <w:sz w:val="18"/>
    </w:rPr>
  </w:style>
  <w:style w:type="character" w:styleId="FootnoteReference">
    <w:name w:val="footnote reference"/>
    <w:semiHidden/>
    <w:rPr>
      <w:rFonts w:ascii="Times New Roman" w:hAnsi="Times New Roman"/>
      <w:sz w:val="20"/>
      <w:vertAlign w:val="superscript"/>
    </w:rPr>
  </w:style>
  <w:style w:type="paragraph" w:customStyle="1" w:styleId="Equation">
    <w:name w:val="Equation"/>
    <w:basedOn w:val="Normal"/>
    <w:rsid w:val="00380A43"/>
    <w:pPr>
      <w:tabs>
        <w:tab w:val="right" w:pos="7371"/>
      </w:tabs>
      <w:spacing w:before="120" w:after="120"/>
      <w:ind w:left="567" w:firstLine="0"/>
      <w:jc w:val="left"/>
    </w:pPr>
    <w:rPr>
      <w:lang w:val="en-US"/>
    </w:rPr>
  </w:style>
  <w:style w:type="paragraph" w:customStyle="1" w:styleId="KeyWords">
    <w:name w:val="Key Words"/>
    <w:basedOn w:val="Abstract"/>
    <w:pPr>
      <w:spacing w:before="120" w:after="120"/>
      <w:ind w:firstLine="567"/>
      <w:jc w:val="both"/>
    </w:pPr>
    <w:rPr>
      <w:b w:val="0"/>
      <w:i/>
      <w:caps w:val="0"/>
      <w:lang w:val="bg-BG"/>
    </w:rPr>
  </w:style>
  <w:style w:type="paragraph" w:styleId="Title">
    <w:name w:val="Title"/>
    <w:basedOn w:val="Normal"/>
    <w:qFormat/>
    <w:pPr>
      <w:widowControl w:val="0"/>
      <w:autoSpaceDE w:val="0"/>
      <w:autoSpaceDN w:val="0"/>
      <w:spacing w:before="480" w:after="360"/>
      <w:ind w:firstLine="0"/>
      <w:jc w:val="center"/>
    </w:pPr>
    <w:rPr>
      <w:b/>
      <w:caps/>
      <w:sz w:val="24"/>
    </w:rPr>
  </w:style>
  <w:style w:type="character" w:styleId="PageNumber">
    <w:name w:val="page number"/>
    <w:rPr>
      <w:rFonts w:ascii="Times New Roman" w:hAnsi="Times New Roman"/>
      <w:b/>
      <w:sz w:val="18"/>
    </w:rPr>
  </w:style>
  <w:style w:type="paragraph" w:styleId="Header">
    <w:name w:val="header"/>
    <w:basedOn w:val="Normal"/>
    <w:pPr>
      <w:tabs>
        <w:tab w:val="left" w:pos="567"/>
        <w:tab w:val="center" w:pos="4153"/>
        <w:tab w:val="right" w:pos="8306"/>
      </w:tabs>
    </w:pPr>
    <w:rPr>
      <w:lang w:val="en-US"/>
    </w:rPr>
  </w:style>
  <w:style w:type="paragraph" w:customStyle="1" w:styleId="ANT">
    <w:name w:val="ANT"/>
    <w:basedOn w:val="Header"/>
    <w:pPr>
      <w:tabs>
        <w:tab w:val="clear" w:pos="567"/>
        <w:tab w:val="clear" w:pos="4153"/>
        <w:tab w:val="clear" w:pos="8306"/>
      </w:tabs>
      <w:ind w:firstLine="0"/>
      <w:jc w:val="center"/>
    </w:pPr>
    <w:rPr>
      <w:b/>
      <w:sz w:val="16"/>
      <w:lang w:val="bg-BG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ind w:firstLine="0"/>
    </w:pPr>
  </w:style>
  <w:style w:type="character" w:customStyle="1" w:styleId="MTEquationSection">
    <w:name w:val="MTEquationSection"/>
    <w:rPr>
      <w:vanish/>
      <w:color w:val="FF0000"/>
    </w:rPr>
  </w:style>
  <w:style w:type="paragraph" w:styleId="ListParagraph">
    <w:name w:val="List Paragraph"/>
    <w:basedOn w:val="Normal"/>
    <w:uiPriority w:val="34"/>
    <w:qFormat/>
    <w:rsid w:val="00A7641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1">
    <w:name w:val="Текст в контейнер1"/>
    <w:basedOn w:val="DefaultParagraphFont"/>
    <w:semiHidden/>
    <w:rsid w:val="009A7066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semiHidden/>
    <w:rsid w:val="009A7066"/>
    <w:rPr>
      <w:rFonts w:ascii="Tahoma" w:hAnsi="Tahoma" w:cs="Tahoma"/>
      <w:sz w:val="16"/>
      <w:szCs w:val="16"/>
      <w:lang w:val="en-AU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9A7066"/>
    <w:rPr>
      <w:rFonts w:ascii="Tahoma" w:hAnsi="Tahoma" w:cs="Tahoma"/>
      <w:sz w:val="16"/>
      <w:szCs w:val="16"/>
      <w:lang w:val="en-AU"/>
    </w:rPr>
  </w:style>
  <w:style w:type="table" w:styleId="TableGrid">
    <w:name w:val="Table Grid"/>
    <w:basedOn w:val="TableNormal"/>
    <w:rsid w:val="009A7066"/>
    <w:rPr>
      <w:lang w:val="bg-BG" w:eastAsia="bg-BG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0">
    <w:name w:val="Списък на абзаци1"/>
    <w:basedOn w:val="Normal"/>
    <w:qFormat/>
    <w:rsid w:val="009A7066"/>
    <w:pPr>
      <w:ind w:left="720"/>
      <w:contextualSpacing/>
    </w:pPr>
    <w:rPr>
      <w:lang w:val="en-AU" w:eastAsia="en-US"/>
    </w:rPr>
  </w:style>
  <w:style w:type="paragraph" w:styleId="EndnoteText">
    <w:name w:val="endnote text"/>
    <w:basedOn w:val="Normal"/>
    <w:link w:val="EndnoteTextChar"/>
    <w:semiHidden/>
    <w:rsid w:val="009A7066"/>
    <w:rPr>
      <w:lang w:val="en-AU"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9A7066"/>
    <w:rPr>
      <w:lang w:val="en-AU"/>
    </w:rPr>
  </w:style>
  <w:style w:type="character" w:styleId="EndnoteReference">
    <w:name w:val="endnote reference"/>
    <w:basedOn w:val="DefaultParagraphFont"/>
    <w:semiHidden/>
    <w:rsid w:val="009A7066"/>
    <w:rPr>
      <w:rFonts w:cs="Times New Roman"/>
      <w:vertAlign w:val="superscript"/>
    </w:rPr>
  </w:style>
  <w:style w:type="character" w:customStyle="1" w:styleId="FooterChar">
    <w:name w:val="Footer Char"/>
    <w:basedOn w:val="DefaultParagraphFont"/>
    <w:link w:val="Footer"/>
    <w:locked/>
    <w:rsid w:val="009A7066"/>
    <w:rPr>
      <w:lang w:val="bg-BG" w:eastAsia="bg-BG"/>
    </w:rPr>
  </w:style>
  <w:style w:type="character" w:styleId="Hyperlink">
    <w:name w:val="Hyperlink"/>
    <w:basedOn w:val="DefaultParagraphFont"/>
    <w:rsid w:val="009A7066"/>
    <w:rPr>
      <w:color w:val="0000FF"/>
      <w:u w:val="single"/>
    </w:rPr>
  </w:style>
  <w:style w:type="character" w:customStyle="1" w:styleId="FootnoteTextChar">
    <w:name w:val="Footnote Text Char"/>
    <w:link w:val="FootnoteText"/>
    <w:semiHidden/>
    <w:locked/>
    <w:rsid w:val="009A7066"/>
    <w:rPr>
      <w:sz w:val="18"/>
      <w:lang w:val="bg-BG" w:eastAsia="bg-BG"/>
    </w:rPr>
  </w:style>
  <w:style w:type="character" w:customStyle="1" w:styleId="apple-converted-space">
    <w:name w:val="apple-converted-space"/>
    <w:basedOn w:val="DefaultParagraphFont"/>
    <w:rsid w:val="009A7066"/>
    <w:rPr>
      <w:rFonts w:cs="Times New Roman"/>
    </w:rPr>
  </w:style>
  <w:style w:type="character" w:customStyle="1" w:styleId="st">
    <w:name w:val="st"/>
    <w:basedOn w:val="DefaultParagraphFont"/>
    <w:rsid w:val="009A7066"/>
    <w:rPr>
      <w:rFonts w:cs="Times New Roman"/>
    </w:rPr>
  </w:style>
  <w:style w:type="character" w:styleId="Emphasis">
    <w:name w:val="Emphasis"/>
    <w:basedOn w:val="DefaultParagraphFont"/>
    <w:qFormat/>
    <w:rsid w:val="009A7066"/>
    <w:rPr>
      <w:rFonts w:cs="Times New Roman"/>
      <w:i/>
      <w:iCs/>
    </w:rPr>
  </w:style>
  <w:style w:type="character" w:styleId="CommentReference">
    <w:name w:val="annotation reference"/>
    <w:basedOn w:val="DefaultParagraphFont"/>
    <w:semiHidden/>
    <w:rsid w:val="009A706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A7066"/>
    <w:rPr>
      <w:lang w:val="en-AU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9A7066"/>
    <w:rPr>
      <w:lang w:val="en-AU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9A70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A7066"/>
    <w:rPr>
      <w:b/>
      <w:bCs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ind w:firstLine="567"/>
      <w:jc w:val="both"/>
    </w:pPr>
    <w:rPr>
      <w:lang w:val="bg-BG" w:eastAsia="bg-BG"/>
    </w:rPr>
  </w:style>
  <w:style w:type="paragraph" w:styleId="Heading1">
    <w:name w:val="heading 1"/>
    <w:basedOn w:val="Normal"/>
    <w:next w:val="Normal"/>
    <w:qFormat/>
    <w:pPr>
      <w:keepNext/>
      <w:spacing w:before="360" w:after="240"/>
      <w:ind w:left="567" w:firstLine="0"/>
      <w:jc w:val="left"/>
      <w:outlineLvl w:val="0"/>
    </w:pPr>
    <w:rPr>
      <w:b/>
      <w:kern w:val="28"/>
      <w:sz w:val="24"/>
    </w:rPr>
  </w:style>
  <w:style w:type="paragraph" w:styleId="Heading2">
    <w:name w:val="heading 2"/>
    <w:basedOn w:val="Normal"/>
    <w:next w:val="Normal"/>
    <w:qFormat/>
    <w:pPr>
      <w:keepNext/>
      <w:spacing w:before="240" w:after="120"/>
      <w:ind w:left="567" w:firstLine="0"/>
      <w:jc w:val="left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pPr>
      <w:keepNext/>
      <w:spacing w:before="120"/>
      <w:ind w:left="567" w:firstLine="0"/>
      <w:jc w:val="left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ME">
    <w:name w:val="NAME"/>
    <w:basedOn w:val="Normal"/>
    <w:pPr>
      <w:spacing w:after="360"/>
      <w:ind w:firstLine="0"/>
      <w:jc w:val="center"/>
    </w:pPr>
    <w:rPr>
      <w:b/>
      <w:sz w:val="22"/>
      <w:lang w:val="en-US"/>
    </w:rPr>
  </w:style>
  <w:style w:type="paragraph" w:customStyle="1" w:styleId="Literature">
    <w:name w:val="Literature"/>
    <w:basedOn w:val="Normal"/>
    <w:pPr>
      <w:spacing w:before="360" w:after="240"/>
      <w:ind w:firstLine="0"/>
      <w:jc w:val="center"/>
    </w:pPr>
    <w:rPr>
      <w:b/>
      <w:caps/>
      <w:lang w:val="en-US"/>
    </w:rPr>
  </w:style>
  <w:style w:type="paragraph" w:customStyle="1" w:styleId="Fig">
    <w:name w:val="Fig"/>
    <w:basedOn w:val="Normal"/>
    <w:pPr>
      <w:spacing w:before="120" w:after="120"/>
      <w:ind w:firstLine="0"/>
      <w:jc w:val="center"/>
    </w:pPr>
    <w:rPr>
      <w:b/>
      <w:sz w:val="18"/>
      <w:lang w:val="en-US"/>
    </w:rPr>
  </w:style>
  <w:style w:type="paragraph" w:customStyle="1" w:styleId="Fig-1">
    <w:name w:val="Fig-1"/>
    <w:basedOn w:val="Fig"/>
    <w:pPr>
      <w:spacing w:before="0"/>
    </w:pPr>
    <w:rPr>
      <w:b w:val="0"/>
      <w:i/>
    </w:rPr>
  </w:style>
  <w:style w:type="paragraph" w:styleId="BodyText">
    <w:name w:val="Body Text"/>
    <w:basedOn w:val="Normal"/>
  </w:style>
  <w:style w:type="paragraph" w:customStyle="1" w:styleId="Abstract">
    <w:name w:val="Abstract"/>
    <w:basedOn w:val="Normal"/>
    <w:rsid w:val="00380A43"/>
    <w:pPr>
      <w:spacing w:before="360" w:after="240"/>
      <w:ind w:firstLine="0"/>
      <w:jc w:val="center"/>
    </w:pPr>
    <w:rPr>
      <w:b/>
      <w:caps/>
      <w:lang w:val="en-US"/>
    </w:rPr>
  </w:style>
  <w:style w:type="paragraph" w:customStyle="1" w:styleId="Table-Title">
    <w:name w:val="Table-Title"/>
    <w:basedOn w:val="Table-Number"/>
    <w:pPr>
      <w:spacing w:before="0"/>
      <w:jc w:val="center"/>
    </w:pPr>
  </w:style>
  <w:style w:type="paragraph" w:customStyle="1" w:styleId="Table-Number">
    <w:name w:val="Table-Number"/>
    <w:basedOn w:val="Normal"/>
    <w:pPr>
      <w:spacing w:before="120" w:after="120"/>
      <w:ind w:firstLine="0"/>
      <w:jc w:val="right"/>
    </w:pPr>
    <w:rPr>
      <w:b/>
      <w:lang w:val="en-US"/>
    </w:rPr>
  </w:style>
  <w:style w:type="paragraph" w:styleId="FootnoteText">
    <w:name w:val="footnote text"/>
    <w:basedOn w:val="Normal"/>
    <w:link w:val="FootnoteTextChar"/>
    <w:semiHidden/>
    <w:rPr>
      <w:sz w:val="18"/>
    </w:rPr>
  </w:style>
  <w:style w:type="character" w:styleId="FootnoteReference">
    <w:name w:val="footnote reference"/>
    <w:semiHidden/>
    <w:rPr>
      <w:rFonts w:ascii="Times New Roman" w:hAnsi="Times New Roman"/>
      <w:sz w:val="20"/>
      <w:vertAlign w:val="superscript"/>
    </w:rPr>
  </w:style>
  <w:style w:type="paragraph" w:customStyle="1" w:styleId="Equation">
    <w:name w:val="Equation"/>
    <w:basedOn w:val="Normal"/>
    <w:rsid w:val="00380A43"/>
    <w:pPr>
      <w:tabs>
        <w:tab w:val="right" w:pos="7371"/>
      </w:tabs>
      <w:spacing w:before="120" w:after="120"/>
      <w:ind w:left="567" w:firstLine="0"/>
      <w:jc w:val="left"/>
    </w:pPr>
    <w:rPr>
      <w:lang w:val="en-US"/>
    </w:rPr>
  </w:style>
  <w:style w:type="paragraph" w:customStyle="1" w:styleId="KeyWords">
    <w:name w:val="Key Words"/>
    <w:basedOn w:val="Abstract"/>
    <w:pPr>
      <w:spacing w:before="120" w:after="120"/>
      <w:ind w:firstLine="567"/>
      <w:jc w:val="both"/>
    </w:pPr>
    <w:rPr>
      <w:b w:val="0"/>
      <w:i/>
      <w:caps w:val="0"/>
      <w:lang w:val="bg-BG"/>
    </w:rPr>
  </w:style>
  <w:style w:type="paragraph" w:styleId="Title">
    <w:name w:val="Title"/>
    <w:basedOn w:val="Normal"/>
    <w:qFormat/>
    <w:pPr>
      <w:widowControl w:val="0"/>
      <w:autoSpaceDE w:val="0"/>
      <w:autoSpaceDN w:val="0"/>
      <w:spacing w:before="480" w:after="360"/>
      <w:ind w:firstLine="0"/>
      <w:jc w:val="center"/>
    </w:pPr>
    <w:rPr>
      <w:b/>
      <w:caps/>
      <w:sz w:val="24"/>
    </w:rPr>
  </w:style>
  <w:style w:type="character" w:styleId="PageNumber">
    <w:name w:val="page number"/>
    <w:rPr>
      <w:rFonts w:ascii="Times New Roman" w:hAnsi="Times New Roman"/>
      <w:b/>
      <w:sz w:val="18"/>
    </w:rPr>
  </w:style>
  <w:style w:type="paragraph" w:styleId="Header">
    <w:name w:val="header"/>
    <w:basedOn w:val="Normal"/>
    <w:pPr>
      <w:tabs>
        <w:tab w:val="left" w:pos="567"/>
        <w:tab w:val="center" w:pos="4153"/>
        <w:tab w:val="right" w:pos="8306"/>
      </w:tabs>
    </w:pPr>
    <w:rPr>
      <w:lang w:val="en-US"/>
    </w:rPr>
  </w:style>
  <w:style w:type="paragraph" w:customStyle="1" w:styleId="ANT">
    <w:name w:val="ANT"/>
    <w:basedOn w:val="Header"/>
    <w:pPr>
      <w:tabs>
        <w:tab w:val="clear" w:pos="567"/>
        <w:tab w:val="clear" w:pos="4153"/>
        <w:tab w:val="clear" w:pos="8306"/>
      </w:tabs>
      <w:ind w:firstLine="0"/>
      <w:jc w:val="center"/>
    </w:pPr>
    <w:rPr>
      <w:b/>
      <w:sz w:val="16"/>
      <w:lang w:val="bg-BG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  <w:ind w:firstLine="0"/>
    </w:pPr>
  </w:style>
  <w:style w:type="character" w:customStyle="1" w:styleId="MTEquationSection">
    <w:name w:val="MTEquationSection"/>
    <w:rPr>
      <w:vanish/>
      <w:color w:val="FF0000"/>
    </w:rPr>
  </w:style>
  <w:style w:type="paragraph" w:styleId="ListParagraph">
    <w:name w:val="List Paragraph"/>
    <w:basedOn w:val="Normal"/>
    <w:uiPriority w:val="34"/>
    <w:qFormat/>
    <w:rsid w:val="00A76411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1">
    <w:name w:val="Текст в контейнер1"/>
    <w:basedOn w:val="DefaultParagraphFont"/>
    <w:semiHidden/>
    <w:rsid w:val="009A7066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semiHidden/>
    <w:rsid w:val="009A7066"/>
    <w:rPr>
      <w:rFonts w:ascii="Tahoma" w:hAnsi="Tahoma" w:cs="Tahoma"/>
      <w:sz w:val="16"/>
      <w:szCs w:val="16"/>
      <w:lang w:val="en-AU"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9A7066"/>
    <w:rPr>
      <w:rFonts w:ascii="Tahoma" w:hAnsi="Tahoma" w:cs="Tahoma"/>
      <w:sz w:val="16"/>
      <w:szCs w:val="16"/>
      <w:lang w:val="en-AU"/>
    </w:rPr>
  </w:style>
  <w:style w:type="table" w:styleId="TableGrid">
    <w:name w:val="Table Grid"/>
    <w:basedOn w:val="TableNormal"/>
    <w:rsid w:val="009A7066"/>
    <w:rPr>
      <w:lang w:val="bg-BG" w:eastAsia="bg-BG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0">
    <w:name w:val="Списък на абзаци1"/>
    <w:basedOn w:val="Normal"/>
    <w:qFormat/>
    <w:rsid w:val="009A7066"/>
    <w:pPr>
      <w:ind w:left="720"/>
      <w:contextualSpacing/>
    </w:pPr>
    <w:rPr>
      <w:lang w:val="en-AU" w:eastAsia="en-US"/>
    </w:rPr>
  </w:style>
  <w:style w:type="paragraph" w:styleId="EndnoteText">
    <w:name w:val="endnote text"/>
    <w:basedOn w:val="Normal"/>
    <w:link w:val="EndnoteTextChar"/>
    <w:semiHidden/>
    <w:rsid w:val="009A7066"/>
    <w:rPr>
      <w:lang w:val="en-AU"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9A7066"/>
    <w:rPr>
      <w:lang w:val="en-AU"/>
    </w:rPr>
  </w:style>
  <w:style w:type="character" w:styleId="EndnoteReference">
    <w:name w:val="endnote reference"/>
    <w:basedOn w:val="DefaultParagraphFont"/>
    <w:semiHidden/>
    <w:rsid w:val="009A7066"/>
    <w:rPr>
      <w:rFonts w:cs="Times New Roman"/>
      <w:vertAlign w:val="superscript"/>
    </w:rPr>
  </w:style>
  <w:style w:type="character" w:customStyle="1" w:styleId="FooterChar">
    <w:name w:val="Footer Char"/>
    <w:basedOn w:val="DefaultParagraphFont"/>
    <w:link w:val="Footer"/>
    <w:locked/>
    <w:rsid w:val="009A7066"/>
    <w:rPr>
      <w:lang w:val="bg-BG" w:eastAsia="bg-BG"/>
    </w:rPr>
  </w:style>
  <w:style w:type="character" w:styleId="Hyperlink">
    <w:name w:val="Hyperlink"/>
    <w:basedOn w:val="DefaultParagraphFont"/>
    <w:rsid w:val="009A7066"/>
    <w:rPr>
      <w:color w:val="0000FF"/>
      <w:u w:val="single"/>
    </w:rPr>
  </w:style>
  <w:style w:type="character" w:customStyle="1" w:styleId="FootnoteTextChar">
    <w:name w:val="Footnote Text Char"/>
    <w:link w:val="FootnoteText"/>
    <w:semiHidden/>
    <w:locked/>
    <w:rsid w:val="009A7066"/>
    <w:rPr>
      <w:sz w:val="18"/>
      <w:lang w:val="bg-BG" w:eastAsia="bg-BG"/>
    </w:rPr>
  </w:style>
  <w:style w:type="character" w:customStyle="1" w:styleId="apple-converted-space">
    <w:name w:val="apple-converted-space"/>
    <w:basedOn w:val="DefaultParagraphFont"/>
    <w:rsid w:val="009A7066"/>
    <w:rPr>
      <w:rFonts w:cs="Times New Roman"/>
    </w:rPr>
  </w:style>
  <w:style w:type="character" w:customStyle="1" w:styleId="st">
    <w:name w:val="st"/>
    <w:basedOn w:val="DefaultParagraphFont"/>
    <w:rsid w:val="009A7066"/>
    <w:rPr>
      <w:rFonts w:cs="Times New Roman"/>
    </w:rPr>
  </w:style>
  <w:style w:type="character" w:styleId="Emphasis">
    <w:name w:val="Emphasis"/>
    <w:basedOn w:val="DefaultParagraphFont"/>
    <w:qFormat/>
    <w:rsid w:val="009A7066"/>
    <w:rPr>
      <w:rFonts w:cs="Times New Roman"/>
      <w:i/>
      <w:iCs/>
    </w:rPr>
  </w:style>
  <w:style w:type="character" w:styleId="CommentReference">
    <w:name w:val="annotation reference"/>
    <w:basedOn w:val="DefaultParagraphFont"/>
    <w:semiHidden/>
    <w:rsid w:val="009A706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A7066"/>
    <w:rPr>
      <w:lang w:val="en-AU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9A7066"/>
    <w:rPr>
      <w:lang w:val="en-AU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9A70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A7066"/>
    <w:rPr>
      <w:b/>
      <w:bCs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png"/><Relationship Id="rId55" Type="http://schemas.openxmlformats.org/officeDocument/2006/relationships/image" Target="media/image26.wmf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5.wmf"/><Relationship Id="rId62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image" Target="media/image24.wmf"/><Relationship Id="rId58" Type="http://schemas.openxmlformats.org/officeDocument/2006/relationships/image" Target="media/image28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image" Target="media/image27.wmf"/><Relationship Id="rId61" Type="http://schemas.openxmlformats.org/officeDocument/2006/relationships/fontTable" Target="fontTable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oleObject" Target="embeddings/oleObject22.bin"/><Relationship Id="rId6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oleObject" Target="embeddings/oleObject23.bin"/><Relationship Id="rId8" Type="http://schemas.openxmlformats.org/officeDocument/2006/relationships/image" Target="media/image1.wmf"/><Relationship Id="rId51" Type="http://schemas.openxmlformats.org/officeDocument/2006/relationships/image" Target="media/image23.wmf"/><Relationship Id="rId3" Type="http://schemas.microsoft.com/office/2007/relationships/stylesWithEffects" Target="stylesWithEffect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pp101\AppData\Roaming\Microsoft\Templates\65-Hidr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65-Hidro</Template>
  <TotalTime>1</TotalTime>
  <Pages>8</Pages>
  <Words>2069</Words>
  <Characters>11794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UACG</Company>
  <LinksUpToDate>false</LinksUpToDate>
  <CharactersWithSpaces>13836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ppp100</dc:creator>
  <cp:lastModifiedBy>ppp101</cp:lastModifiedBy>
  <cp:revision>4</cp:revision>
  <cp:lastPrinted>2004-05-19T12:52:00Z</cp:lastPrinted>
  <dcterms:created xsi:type="dcterms:W3CDTF">2015-04-27T07:47:00Z</dcterms:created>
  <dcterms:modified xsi:type="dcterms:W3CDTF">2015-05-29T08:23:00Z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